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2B" w:rsidRPr="0088424E" w:rsidRDefault="00813B2B" w:rsidP="00813B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24E">
        <w:rPr>
          <w:rFonts w:ascii="Arial" w:eastAsia="Arial" w:hAnsi="Arial" w:cs="Arial"/>
          <w:b/>
          <w:bCs/>
          <w:sz w:val="24"/>
          <w:szCs w:val="24"/>
        </w:rPr>
        <w:t>Manejo do paciente com doença hepática gordurosa não alcoólica</w:t>
      </w:r>
      <w:r w:rsidRPr="0088424E">
        <w:rPr>
          <w:rFonts w:ascii="Arial" w:eastAsia="Arial" w:hAnsi="Arial" w:cs="Arial"/>
          <w:sz w:val="24"/>
          <w:szCs w:val="24"/>
        </w:rPr>
        <w:t xml:space="preserve"> </w:t>
      </w: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8424E">
        <w:rPr>
          <w:rFonts w:ascii="Arial" w:eastAsia="Arial" w:hAnsi="Arial" w:cs="Arial"/>
          <w:b/>
          <w:bCs/>
          <w:sz w:val="24"/>
          <w:szCs w:val="24"/>
        </w:rPr>
        <w:t xml:space="preserve">Szabo LV, Filho VEF, Neto JT, Bittencourt LA, Marcelino LD, </w:t>
      </w:r>
      <w:proofErr w:type="spellStart"/>
      <w:r w:rsidRPr="0088424E">
        <w:rPr>
          <w:rFonts w:ascii="Arial" w:eastAsia="Arial" w:hAnsi="Arial" w:cs="Arial"/>
          <w:b/>
          <w:bCs/>
          <w:sz w:val="24"/>
          <w:szCs w:val="24"/>
        </w:rPr>
        <w:t>Sanginardi</w:t>
      </w:r>
      <w:proofErr w:type="spellEnd"/>
      <w:r w:rsidRPr="0088424E">
        <w:rPr>
          <w:rFonts w:ascii="Arial" w:eastAsia="Arial" w:hAnsi="Arial" w:cs="Arial"/>
          <w:b/>
          <w:bCs/>
          <w:sz w:val="24"/>
          <w:szCs w:val="24"/>
        </w:rPr>
        <w:t xml:space="preserve"> CAM, Abrantes RHC</w:t>
      </w:r>
      <w:r w:rsidR="002A45F8">
        <w:rPr>
          <w:rFonts w:ascii="Arial" w:eastAsia="Arial" w:hAnsi="Arial" w:cs="Arial"/>
          <w:b/>
          <w:bCs/>
          <w:sz w:val="24"/>
          <w:szCs w:val="24"/>
        </w:rPr>
        <w:t>, Moreno CR</w:t>
      </w:r>
    </w:p>
    <w:p w:rsidR="00813B2B" w:rsidRDefault="00813B2B" w:rsidP="00813B2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8424E">
        <w:rPr>
          <w:rFonts w:ascii="Arial" w:eastAsia="Arial" w:hAnsi="Arial" w:cs="Arial"/>
          <w:b/>
          <w:bCs/>
          <w:sz w:val="24"/>
          <w:szCs w:val="24"/>
        </w:rPr>
        <w:t>Escola de Medicina Souza Marques</w:t>
      </w:r>
    </w:p>
    <w:p w:rsidR="002A45F8" w:rsidRDefault="002A45F8" w:rsidP="00813B2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A45F8" w:rsidRPr="002A45F8" w:rsidRDefault="002A45F8" w:rsidP="00813B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Palavras-chave: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esteatose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hepatopatia, doença hepática gordurosa não alcoólica,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esteato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-hepatite, cirrose, carcinoma hepatocelular</w:t>
      </w:r>
      <w:bookmarkStart w:id="0" w:name="_GoBack"/>
      <w:bookmarkEnd w:id="0"/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8424E">
        <w:rPr>
          <w:rFonts w:ascii="Arial" w:eastAsia="Arial" w:hAnsi="Arial" w:cs="Arial"/>
          <w:b/>
          <w:bCs/>
          <w:sz w:val="24"/>
          <w:szCs w:val="24"/>
        </w:rPr>
        <w:t>Introdução:</w:t>
      </w:r>
      <w:r w:rsidRPr="0088424E">
        <w:rPr>
          <w:rFonts w:ascii="Arial" w:eastAsia="Arial" w:hAnsi="Arial" w:cs="Arial"/>
          <w:sz w:val="24"/>
          <w:szCs w:val="24"/>
        </w:rPr>
        <w:t xml:space="preserve"> </w:t>
      </w: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8424E">
        <w:rPr>
          <w:rFonts w:ascii="Arial" w:eastAsia="Arial" w:hAnsi="Arial" w:cs="Arial"/>
          <w:sz w:val="24"/>
          <w:szCs w:val="24"/>
        </w:rPr>
        <w:t xml:space="preserve">A doença hepática gordurosa não alcoólica (DHGNA) é caracterizada pelo acúmulo excessivo de triglicerídeos nos hepatócitos. Pode acarretar inflamação local e complicações como a fibrose avançada e cirrose. Seu espectro envolve a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esteatose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esteato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-hepatite, cirrose e carcinoma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hepatocelular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. No Brasil, cerca de 20% da população apresenta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esteatose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 hepática, que pode ocorrer em todas as fases da vida e tem forte associação com a síndrome metabólica. Os fatores de risco para essa doença são obesidade, diabetes mellitus, dislipidemia e maus hábitos alimentares.</w:t>
      </w:r>
      <w:r>
        <w:rPr>
          <w:rFonts w:ascii="Arial" w:eastAsia="Arial" w:hAnsi="Arial" w:cs="Arial"/>
          <w:sz w:val="24"/>
          <w:szCs w:val="24"/>
        </w:rPr>
        <w:t xml:space="preserve"> Dada sua grande prevalência, o tema foi escolhido por acreditar-se ser fundamental a atualização acerca do seu manejo adequado.</w:t>
      </w: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8424E">
        <w:rPr>
          <w:rFonts w:ascii="Arial" w:eastAsia="Arial" w:hAnsi="Arial" w:cs="Arial"/>
          <w:b/>
          <w:bCs/>
          <w:sz w:val="24"/>
          <w:szCs w:val="24"/>
        </w:rPr>
        <w:t xml:space="preserve">Métodos: </w:t>
      </w: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8424E">
        <w:rPr>
          <w:rFonts w:ascii="Arial" w:eastAsia="Arial" w:hAnsi="Arial" w:cs="Arial"/>
          <w:sz w:val="24"/>
          <w:szCs w:val="24"/>
        </w:rPr>
        <w:t xml:space="preserve">Revisão de literatura. Artigos selecionados em pesquisas realizadas nos bancos de dados do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Scielo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Pubmed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>. Estudo realizado de abril a junho de 20</w:t>
      </w:r>
      <w:r>
        <w:rPr>
          <w:rFonts w:ascii="Arial" w:eastAsia="Arial" w:hAnsi="Arial" w:cs="Arial"/>
          <w:sz w:val="24"/>
          <w:szCs w:val="24"/>
        </w:rPr>
        <w:t>20</w:t>
      </w:r>
      <w:r w:rsidRPr="0088424E">
        <w:rPr>
          <w:rFonts w:ascii="Arial" w:eastAsia="Arial" w:hAnsi="Arial" w:cs="Arial"/>
          <w:sz w:val="24"/>
          <w:szCs w:val="24"/>
        </w:rPr>
        <w:t>.</w:t>
      </w: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8424E">
        <w:rPr>
          <w:rFonts w:ascii="Arial" w:eastAsia="Arial" w:hAnsi="Arial" w:cs="Arial"/>
          <w:b/>
          <w:bCs/>
          <w:sz w:val="24"/>
          <w:szCs w:val="24"/>
        </w:rPr>
        <w:t>Desenvolvimento:</w:t>
      </w:r>
      <w:r w:rsidRPr="0088424E">
        <w:rPr>
          <w:rFonts w:ascii="Arial" w:eastAsia="Arial" w:hAnsi="Arial" w:cs="Arial"/>
          <w:sz w:val="24"/>
          <w:szCs w:val="24"/>
        </w:rPr>
        <w:t xml:space="preserve"> </w:t>
      </w:r>
    </w:p>
    <w:p w:rsidR="00813B2B" w:rsidRPr="0088424E" w:rsidRDefault="00813B2B" w:rsidP="00813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8424E">
        <w:rPr>
          <w:rFonts w:ascii="Arial" w:eastAsia="Arial" w:hAnsi="Arial" w:cs="Arial"/>
          <w:sz w:val="24"/>
          <w:szCs w:val="24"/>
        </w:rPr>
        <w:t xml:space="preserve">O manejo tem como objetivo a mudança no estilo de vida do paciente, correlacionando uma dieta equilibrada com atividade física. Em relação ao controle dos fatores de risco, as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Tiazolidinedionas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 são opções para diminuição da resistência insulínica. Na dislipidemia, fármacos da classe das estatinas são utilizados para a melhora do perfil lipídico. O controle da inflamação e do processo de fibrose hepática é realizado através da ação dos agentes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citoprotetores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, que reduzem a apoptose celular, além do bloqueio de fatores na cascata inflamatória. O uso de antioxidantes como a Vitamina E tem papel importante, pois o estresse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oxidativo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 é um dos principais fatores contribuintes da injúria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hepatocelular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. A perda de 3-5% do peso corporal em 6 meses parece ser necessária para melhorar a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esteatose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. No entanto, uma perda maior de peso (até 10%) pode ser necessária para melhorar a </w:t>
      </w:r>
      <w:proofErr w:type="spellStart"/>
      <w:r w:rsidRPr="0088424E">
        <w:rPr>
          <w:rFonts w:ascii="Arial" w:eastAsia="Arial" w:hAnsi="Arial" w:cs="Arial"/>
          <w:sz w:val="24"/>
          <w:szCs w:val="24"/>
        </w:rPr>
        <w:t>esteato</w:t>
      </w:r>
      <w:proofErr w:type="spellEnd"/>
      <w:r w:rsidRPr="0088424E">
        <w:rPr>
          <w:rFonts w:ascii="Arial" w:eastAsia="Arial" w:hAnsi="Arial" w:cs="Arial"/>
          <w:sz w:val="24"/>
          <w:szCs w:val="24"/>
        </w:rPr>
        <w:t xml:space="preserve">-hepatite. Na triagem desse grupo de pacientes, a ultrassonografia abdominal tem papel importante no diagnóstico, possibilitando uma intervenção mais rápida. </w:t>
      </w:r>
      <w:r w:rsidRPr="0088424E">
        <w:rPr>
          <w:rFonts w:ascii="Arial" w:hAnsi="Arial" w:cs="Arial"/>
          <w:sz w:val="24"/>
          <w:szCs w:val="24"/>
        </w:rPr>
        <w:br/>
      </w:r>
      <w:r w:rsidRPr="0088424E">
        <w:rPr>
          <w:rFonts w:ascii="Arial" w:eastAsia="Arial" w:hAnsi="Arial" w:cs="Arial"/>
          <w:sz w:val="24"/>
          <w:szCs w:val="24"/>
        </w:rPr>
        <w:t xml:space="preserve"> </w:t>
      </w:r>
      <w:r w:rsidRPr="0088424E">
        <w:rPr>
          <w:rFonts w:ascii="Arial" w:hAnsi="Arial" w:cs="Arial"/>
          <w:sz w:val="24"/>
          <w:szCs w:val="24"/>
        </w:rPr>
        <w:br/>
      </w:r>
      <w:r w:rsidRPr="0088424E">
        <w:rPr>
          <w:rFonts w:ascii="Arial" w:eastAsia="Arial" w:hAnsi="Arial" w:cs="Arial"/>
          <w:b/>
          <w:bCs/>
          <w:sz w:val="24"/>
          <w:szCs w:val="24"/>
        </w:rPr>
        <w:t>Conclusão:</w:t>
      </w:r>
      <w:r w:rsidRPr="0088424E">
        <w:rPr>
          <w:rFonts w:ascii="Arial" w:eastAsia="Arial" w:hAnsi="Arial" w:cs="Arial"/>
          <w:sz w:val="24"/>
          <w:szCs w:val="24"/>
        </w:rPr>
        <w:t xml:space="preserve"> </w:t>
      </w:r>
      <w:r w:rsidRPr="0088424E">
        <w:rPr>
          <w:rFonts w:ascii="Arial" w:hAnsi="Arial" w:cs="Arial"/>
          <w:sz w:val="24"/>
          <w:szCs w:val="24"/>
        </w:rPr>
        <w:br/>
      </w:r>
      <w:r w:rsidRPr="0088424E">
        <w:rPr>
          <w:rFonts w:ascii="Arial" w:eastAsia="Arial" w:hAnsi="Arial" w:cs="Arial"/>
          <w:sz w:val="24"/>
          <w:szCs w:val="24"/>
        </w:rPr>
        <w:t>A DHGNA apresenta associação positiva com a síndrome metabólica sendo um fator que deve ser considerado na abordagem. Essa patologia apresenta boa resposta ao manejo clínico, com regressão visível da doença a partir de mudanças no estilo de vida, com atividade física e dieta equilibrada, além de tratamento farmacológico. Ademais, a introdução de medicamentos antioxidantes tem ação benéfica no tratamento desses pacientes.</w:t>
      </w:r>
    </w:p>
    <w:p w:rsidR="00813B2B" w:rsidRPr="0088424E" w:rsidRDefault="00813B2B" w:rsidP="00813B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F633D" w:rsidRDefault="00DF633D"/>
    <w:sectPr w:rsidR="00DF633D" w:rsidSect="00373D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2B"/>
    <w:rsid w:val="002A45F8"/>
    <w:rsid w:val="00373DAC"/>
    <w:rsid w:val="00813B2B"/>
    <w:rsid w:val="00D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2B"/>
    <w:pPr>
      <w:spacing w:after="160" w:line="259" w:lineRule="auto"/>
    </w:pPr>
    <w:rPr>
      <w:rFonts w:eastAsiaTheme="minorHAnsi" w:cs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B2B"/>
    <w:pPr>
      <w:spacing w:after="160" w:line="259" w:lineRule="auto"/>
    </w:pPr>
    <w:rPr>
      <w:rFonts w:eastAsiaTheme="minorHAnsi" w:cs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Macintosh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Szabo</dc:creator>
  <cp:keywords/>
  <dc:description/>
  <cp:lastModifiedBy>Luana Szabo</cp:lastModifiedBy>
  <cp:revision>2</cp:revision>
  <dcterms:created xsi:type="dcterms:W3CDTF">2020-07-05T21:35:00Z</dcterms:created>
  <dcterms:modified xsi:type="dcterms:W3CDTF">2020-07-05T21:35:00Z</dcterms:modified>
</cp:coreProperties>
</file>