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Cultura como Agitação e Propaganda: Comunicação Popular e Organização Política no Levante Popular da Juventude.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color w:val="ff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Azrael Criollo Hakan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RESUMO: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Este trabalho investiga a cultura como forma de comunicação popular e tecnologia organizativa nos movimentos sociais contemporâneos, deslocando a arte de seu papel tradicional de representação simbólica para compreendê-la como prática material de produção de consciência, pertencimento e ação coletiva. A partir de um diálogo entre Walter Benjamin, Bertolt Brecht e Paulo Freire, o artigo argumenta que a estética insurgente constitui uma infraestrutura comunicacional contra-hegemônica, capaz de disputar sentidos no espaço público, reorganizar afetos e formar sujeitos políticos em contextos de desigualdade estrutural e mercantilização da vida.</w:t>
      </w:r>
    </w:p>
    <w:p w:rsidR="00000000" w:rsidDel="00000000" w:rsidP="00000000" w:rsidRDefault="00000000" w:rsidRPr="00000000" w14:paraId="0000000A">
      <w:pPr>
        <w:ind w:firstLine="567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Como campo empírico e político, o trabalho analisa o Levante Popular da Juventude, movimento nacional que articula organização popular, formação política e produção cultural como dimensões indissociáveis da luta social. No Levante, práticas como batucadas, palavras de ordem, místicas, intervenções urbanas, performances dissidentes e ocupações simbólicas do espaço público operam não apenas como expressões culturais, mas como dispositivos comunicacionais populares, produzidos coletivamente, enraizados nos territórios e orientados à transformação social. Essas práticas reconfiguram a comunicação como experiência viva, corporal e relacional, rompendo com os regimes dominantes de mediação midiática baseados na espetacularização, na passividade do consumo e na lógica mercantil da informação.</w:t>
      </w:r>
    </w:p>
    <w:p w:rsidR="00000000" w:rsidDel="00000000" w:rsidP="00000000" w:rsidRDefault="00000000" w:rsidRPr="00000000" w14:paraId="0000000B">
      <w:pPr>
        <w:ind w:firstLine="567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Inspirado na noção benjaminiana do “autor como produtor”, o artigo sustenta que essas formas comunicacionais insurgentes não se limitam à circulação de conteúdos críticos, mas transformam as próprias condições de produção e recepção da comunicação. O público deixa de ser consumidor e passa a ser produtor de sentido; a linguagem deixa de ser instrumento neutro e torna-se território de disputa; a estética deixa de ser ornamento e passa a ser meio organizativo. Em convergência com Brecht, argumenta-se que essas práticas instauram dispositivos de estranhamento político capazes de romper a naturalização das desigualdades sociais, enquanto, com Freire, são compreendidas como pedagogias populares que produzem conscientização por meio da experiência compartilhada e da leitura crítica do mundo.</w:t>
      </w:r>
    </w:p>
    <w:p w:rsidR="00000000" w:rsidDel="00000000" w:rsidP="00000000" w:rsidRDefault="00000000" w:rsidRPr="00000000" w14:paraId="0000000C">
      <w:pPr>
        <w:ind w:firstLine="567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Metodologicamente, o trabalho adota abordagem qualitativa, combinando observação participante, análise de práticas culturais em atos públicos, registros audiovisuais e reflexão teórico-política situada, a partir da inserção militante no movimento. Essa perspectiva permite compreender a comunicação não como transmissão de mensagens, mas como processo coletivo de produção de mundo, em que cultura, política e educação se entrelaçam de forma indissociável.</w:t>
      </w:r>
    </w:p>
    <w:p w:rsidR="00000000" w:rsidDel="00000000" w:rsidP="00000000" w:rsidRDefault="00000000" w:rsidRPr="00000000" w14:paraId="0000000D">
      <w:pPr>
        <w:ind w:firstLine="567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Conclui-se que, no contexto de crise da mediação jornalística tradicional e de intensificação da mercantilização da comunicação, as práticas culturais do Levante configuram experiências concretas de comunicação popular, alternativa e comunitária, ao produzirem narrativas contra-hegemônicas, fortalecerem vínculos territoriais e promoverem formas coletivas de enunciação política. A cultura, nesse horizonte, não é suplemento da luta social, mas sua própria gramática comunicacional: um modo de organizar corpos, afetos e sentidos em direção à emancipação coletiva.</w:t>
      </w:r>
    </w:p>
    <w:p w:rsidR="00000000" w:rsidDel="00000000" w:rsidP="00000000" w:rsidRDefault="00000000" w:rsidRPr="00000000" w14:paraId="0000000E">
      <w:pPr>
        <w:ind w:firstLine="567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REFERÊNCIAS BIBLIOGRÁFICAS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BENJAMIN, Walter. O autor como produtor. In: BENJAMIN, Walter. Magia e técnica, arte e política. 8. ed. São Paulo: Brasiliense, 2012.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BENJAMIN, Walter. A obra de arte na era de sua reprodutibilidade técnica. In: BENJAMIN, Walter. Magia e técnica, arte e política. São Paulo: Brasiliense, 2012.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BRECHT, Bertolt. Escritos sobre teatro. Rio de Janeiro: Nova Fronteira, 1967.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FREIRE, Paulo. Pedagogia do oprimido. 17. ed. Rio de Janeiro: Paz e Terra, 1987.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FREIRE, Paulo. Pedagogia da autonomia. São Paulo: Paz e Terra, 1996.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PERUZZO, Cicilia M. Krohling. Comunicação nos movimentos populares: a participação na construção da cidadania. Petrópolis: Vozes, 1998.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RANCIÈRE, Jacques. A partilha do sensível. São Paulo: Editora 34, 2005.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6838" w:w="11906" w:orient="portrait"/>
      <w:pgMar w:bottom="1742" w:top="2070" w:left="1134" w:right="1134" w:header="720" w:footer="116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iberation Serif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right" w:leader="none" w:pos="8478"/>
      </w:tabs>
      <w:jc w:val="right"/>
      <w:rPr>
        <w:color w:val="000000"/>
      </w:rPr>
    </w:pPr>
    <w:r w:rsidDel="00000000" w:rsidR="00000000" w:rsidRPr="00000000">
      <w:rPr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-889190</wp:posOffset>
              </wp:positionH>
              <wp:positionV relativeFrom="paragraph">
                <wp:posOffset>221241</wp:posOffset>
              </wp:positionV>
              <wp:extent cx="7891145" cy="1040182"/>
              <wp:effectExtent b="127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1145" cy="1040182"/>
                        <a:chOff x="0" y="0"/>
                        <a:chExt cx="7891145" cy="1040182"/>
                      </a:xfrm>
                    </wpg:grpSpPr>
                    <pic:pic>
                      <pic:nvPicPr>
                        <pic:cNvPr id="256353870" name="Imagem 2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/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2838" y="0"/>
                          <a:ext cx="7571105" cy="3632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/>
                      <wps:cNvPr id="1332696342" name="Retângulo 1332696342"/>
                      <wps:spPr>
                        <a:xfrm>
                          <a:off x="0" y="87682"/>
                          <a:ext cx="789114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884790872" name="Imagem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/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89348" y="200416"/>
                          <a:ext cx="1265555" cy="3473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 txBox="1"/>
                      <wps:cNvPr id="295812454" name="Caixa de Texto 6"/>
                      <wps:spPr>
                        <a:xfrm>
                          <a:off x="5542767" y="269310"/>
                          <a:ext cx="1749425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52EB" w:rsidDel="00000000" w:rsidP="001F356B" w:rsidRDefault="00CB52EB" w:rsidRPr="001F356B" w14:paraId="4CF2CDB4" w14:textId="0C5CD2BC">
                            <w:pPr>
                              <w:ind w:left="709" w:hanging="709"/>
                              <w:jc w:val="right"/>
                              <w:rPr>
                                <w:rFonts w:ascii="Arial" w:cs="Arial" w:hAnsi="Arial"/>
                                <w:color w:val="ffffff" w:themeColor="background1"/>
                                <w:spacing w:val="20"/>
                                <w:sz w:val="13"/>
                                <w:szCs w:val="13"/>
                                <w14:textOutline w14:cap="rnd" w14:cmpd="sng" w14:w="9525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w:history="1" r:id="rId4">
                              <w:r w:rsidDel="00000000" w:rsidR="00000000" w:rsidRPr="001F356B">
                                <w:rPr>
                                  <w:rStyle w:val="Hyperlink"/>
                                  <w:rFonts w:ascii="Arial" w:cs="Arial" w:hAnsi="Arial"/>
                                  <w:color w:val="ffffff" w:themeColor="background1"/>
                                  <w:spacing w:val="20"/>
                                  <w:sz w:val="13"/>
                                  <w:szCs w:val="13"/>
                                  <w:u w:val="none"/>
                                  <w14:textOutline w14:cap="rnd" w14:cmpd="sng" w14:w="9525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www.sociedadeepticc.org.br</w:t>
                              </w:r>
                            </w:hyperlink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-889190</wp:posOffset>
              </wp:positionH>
              <wp:positionV relativeFrom="paragraph">
                <wp:posOffset>221241</wp:posOffset>
              </wp:positionV>
              <wp:extent cx="7891145" cy="1041452"/>
              <wp:effectExtent b="0" l="0" r="0" t="0"/>
              <wp:wrapNone/>
              <wp:docPr id="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91145" cy="104145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right" w:leader="none" w:pos="8478"/>
      </w:tabs>
      <w:jc w:val="right"/>
      <w:rPr>
        <w:color w:val="000000"/>
      </w:rPr>
    </w:pPr>
    <w:r w:rsidDel="00000000" w:rsidR="00000000" w:rsidRPr="00000000">
      <w:rPr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-720089</wp:posOffset>
              </wp:positionH>
              <wp:positionV relativeFrom="paragraph">
                <wp:posOffset>-457199</wp:posOffset>
              </wp:positionV>
              <wp:extent cx="7891154" cy="9525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1154" cy="952500"/>
                        <a:chOff x="0" y="0"/>
                        <a:chExt cx="7891154" cy="952500"/>
                      </a:xfrm>
                    </wpg:grpSpPr>
                    <wps:wsp>
                      <wps:cNvSpPr/>
                      <wps:cNvPr id="456079702" name="Retângulo 456079702"/>
                      <wps:spPr>
                        <a:xfrm>
                          <a:off x="0" y="0"/>
                          <a:ext cx="7891154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15607527" name="Imagem 2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/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0247" y="263047"/>
                          <a:ext cx="1767205" cy="4667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SpPr txBox="1">
                        <a:spLocks noChangeArrowheads="1"/>
                      </wps:cNvSpPr>
                      <wps:cNvPr id="1885092109" name="Caixa de Texto 2"/>
                      <wps:spPr bwMode="auto">
                        <a:xfrm>
                          <a:off x="3939436" y="225468"/>
                          <a:ext cx="3201670" cy="194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C00" w:rsidDel="00000000" w:rsidP="00624C00" w:rsidRDefault="00624C00" w:rsidRPr="001F356B" w14:paraId="3AFBD07F" w14:textId="6A5C05B3">
                            <w:pPr>
                              <w:jc w:val="right"/>
                              <w:rPr>
                                <w:rFonts w:ascii="Arial" w:cs="Arial" w:eastAsia="Yu Gothic UI" w:hAnsi="Arial"/>
                                <w:color w:val="ffffff" w:themeColor="background1"/>
                                <w:sz w:val="13"/>
                                <w:szCs w:val="13"/>
                              </w:rPr>
                            </w:pPr>
                            <w:r w:rsidDel="00000000" w:rsidR="00000000" w:rsidRPr="001F356B">
                              <w:rPr>
                                <w:rStyle w:val="Forte"/>
                                <w:rFonts w:ascii="Arial" w:cs="Arial" w:eastAsia="Yu Gothic UI" w:hAnsi="Arial"/>
                                <w:color w:val="ffffff" w:themeColor="background1"/>
                                <w:sz w:val="13"/>
                                <w:szCs w:val="13"/>
                              </w:rPr>
                              <w:t>Imperialismo, colonialismo e soberania na periferia do capitalismo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spAutoFit/>
                      </wps:bodyPr>
                    </wps:wsp>
                    <wps:wsp>
                      <wps:cNvSpPr txBox="1">
                        <a:spLocks noChangeArrowheads="1"/>
                      </wps:cNvSpPr>
                      <wps:cNvPr id="2018473745" name="Caixa de Texto 2"/>
                      <wps:spPr bwMode="auto">
                        <a:xfrm>
                          <a:off x="3939436" y="507304"/>
                          <a:ext cx="320167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2EB" w:rsidDel="00000000" w:rsidP="00CB52EB" w:rsidRDefault="00CB52EB" w:rsidRPr="00CB52EB" w14:paraId="0D43D308" w14:textId="257152BA">
                            <w:pPr>
                              <w:jc w:val="right"/>
                              <w:rPr>
                                <w:rStyle w:val="Forte"/>
                                <w:rFonts w:ascii="Arial" w:cs="Arial" w:eastAsia="Yu Gothic UI" w:hAnsi="Arial"/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Del="00000000" w:rsidR="00000000" w:rsidRPr="00CB52EB">
                              <w:rPr>
                                <w:rStyle w:val="Forte"/>
                                <w:rFonts w:ascii="Arial" w:cs="Arial" w:eastAsia="Yu Gothic UI" w:hAnsi="Arial"/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16"/>
                              </w:rPr>
                              <w:t>Universidade Federal de Minas Gerais</w:t>
                            </w:r>
                          </w:p>
                          <w:p w:rsidR="00CB52EB" w:rsidDel="00000000" w:rsidP="00CB52EB" w:rsidRDefault="00CB52EB" w:rsidRPr="00CB52EB" w14:paraId="419E2430" w14:textId="2E7C9B40">
                            <w:pPr>
                              <w:jc w:val="right"/>
                              <w:rPr>
                                <w:rFonts w:ascii="Arial" w:cs="Arial" w:eastAsia="Yu Gothic UI" w:hAnsi="Arial"/>
                                <w:b w:val="1"/>
                                <w:bCs w:val="1"/>
                                <w:color w:val="ffffff" w:themeColor="background1"/>
                                <w:sz w:val="13"/>
                                <w:szCs w:val="13"/>
                              </w:rPr>
                            </w:pPr>
                            <w:r w:rsidDel="00000000" w:rsidR="00000000" w:rsidRPr="00CB52EB">
                              <w:rPr>
                                <w:rStyle w:val="Forte"/>
                                <w:rFonts w:ascii="Arial" w:cs="Arial" w:eastAsia="Yu Gothic UI" w:hAnsi="Arial"/>
                                <w:b w:val="0"/>
                                <w:bCs w:val="0"/>
                                <w:color w:val="ffffff" w:themeColor="background1"/>
                                <w:sz w:val="13"/>
                                <w:szCs w:val="13"/>
                              </w:rPr>
                              <w:t xml:space="preserve">Belo Horizonte - MG, 19 a 23 de </w:t>
                            </w:r>
                            <w:r w:rsidDel="00000000" w:rsidR="00F6147D" w:rsidRPr="00000000">
                              <w:rPr>
                                <w:rStyle w:val="Forte"/>
                                <w:rFonts w:ascii="Arial" w:cs="Arial" w:eastAsia="Yu Gothic UI" w:hAnsi="Arial"/>
                                <w:b w:val="0"/>
                                <w:bCs w:val="0"/>
                                <w:color w:val="ffffff" w:themeColor="background1"/>
                                <w:sz w:val="13"/>
                                <w:szCs w:val="13"/>
                              </w:rPr>
                              <w:t>m</w:t>
                            </w:r>
                            <w:r w:rsidDel="00000000" w:rsidR="00000000" w:rsidRPr="00CB52EB">
                              <w:rPr>
                                <w:rStyle w:val="Forte"/>
                                <w:rFonts w:ascii="Arial" w:cs="Arial" w:eastAsia="Yu Gothic UI" w:hAnsi="Arial"/>
                                <w:b w:val="0"/>
                                <w:bCs w:val="0"/>
                                <w:color w:val="ffffff" w:themeColor="background1"/>
                                <w:sz w:val="13"/>
                                <w:szCs w:val="13"/>
                              </w:rPr>
                              <w:t>aio de 2026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spAutoFit/>
                      </wps:bodyPr>
                    </wps:wsp>
                    <wps:wsp>
                      <wps:cNvCnPr/>
                      <wps:cNvPr id="1268284075" name="Conector Reto 4"/>
                      <wps:spPr>
                        <a:xfrm flipH="1" flipV="1">
                          <a:off x="4427951" y="419622"/>
                          <a:ext cx="2609215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-720089</wp:posOffset>
              </wp:positionH>
              <wp:positionV relativeFrom="paragraph">
                <wp:posOffset>-457199</wp:posOffset>
              </wp:positionV>
              <wp:extent cx="7891154" cy="95250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91154" cy="952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-691514</wp:posOffset>
          </wp:positionH>
          <wp:positionV relativeFrom="paragraph">
            <wp:posOffset>-657224</wp:posOffset>
          </wp:positionV>
          <wp:extent cx="7505633" cy="11106150"/>
          <wp:effectExtent b="0" l="0" r="0" t="0"/>
          <wp:wrapNone/>
          <wp:docPr id="3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5633" cy="111061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styles" Target="styles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image" Target="media/image2.jpg"/><Relationship Id="rId3" Type="http://schemas.openxmlformats.org/officeDocument/2006/relationships/image" Target="media/image3.png"/><Relationship Id="rId4" Type="http://schemas.openxmlformats.org/officeDocument/2006/relationships/hyperlink" Target="https://sociedadeepticc.org.br/" TargetMode="External"/><Relationship Id="rId5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5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