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6507" w14:textId="4E824F0E" w:rsidR="00ED5E2E" w:rsidRDefault="27E71B78">
      <w:pPr>
        <w:pStyle w:val="Corpodetexto"/>
        <w:spacing w:before="2"/>
        <w:ind w:left="112"/>
      </w:pPr>
      <w:r w:rsidRPr="27E71B78">
        <w:rPr>
          <w:b/>
          <w:bCs/>
          <w:sz w:val="28"/>
          <w:szCs w:val="28"/>
        </w:rPr>
        <w:t>Synergies between bioSAF production, and application of biochar in Brazilian crops</w:t>
      </w:r>
    </w:p>
    <w:p w14:paraId="353E7F42" w14:textId="77777777" w:rsidR="00ED5E2E" w:rsidRDefault="00D04C04">
      <w:pPr>
        <w:pStyle w:val="Corpodetexto"/>
        <w:rPr>
          <w:sz w:val="24"/>
        </w:rPr>
      </w:pPr>
      <w:r>
        <w:br w:type="column"/>
      </w:r>
    </w:p>
    <w:p w14:paraId="39A4C5EB" w14:textId="77777777" w:rsidR="00ED5E2E" w:rsidRDefault="00ED5E2E">
      <w:pPr>
        <w:pStyle w:val="Corpodetexto"/>
        <w:rPr>
          <w:sz w:val="24"/>
        </w:rPr>
      </w:pPr>
    </w:p>
    <w:p w14:paraId="01499208" w14:textId="77777777" w:rsidR="00ED5E2E" w:rsidRDefault="00ED5E2E" w:rsidP="4E27F013">
      <w:pPr>
        <w:pStyle w:val="Corpodetexto"/>
        <w:spacing w:before="10"/>
        <w:jc w:val="right"/>
        <w:rPr>
          <w:sz w:val="23"/>
          <w:szCs w:val="23"/>
        </w:rPr>
      </w:pPr>
    </w:p>
    <w:p w14:paraId="54C10E32" w14:textId="7038FC4E" w:rsidR="007233CE" w:rsidRDefault="007233CE">
      <w:pPr>
        <w:pStyle w:val="Corpodetexto"/>
        <w:spacing w:before="1"/>
        <w:ind w:left="112" w:right="103" w:firstLine="64"/>
        <w:jc w:val="right"/>
      </w:pPr>
      <w:r>
        <w:t>Anderson Pelluso</w:t>
      </w:r>
      <w:r w:rsidR="00D04C04">
        <w:t xml:space="preserve">, </w:t>
      </w:r>
      <w:r>
        <w:t>PPE - COPPE/UFRJ</w:t>
      </w:r>
      <w:r w:rsidR="00D04C04">
        <w:t xml:space="preserve">, </w:t>
      </w:r>
      <w:r>
        <w:t>+5521997569818</w:t>
      </w:r>
      <w:r w:rsidR="00D04C04">
        <w:t xml:space="preserve">, </w:t>
      </w:r>
      <w:hyperlink r:id="rId6" w:history="1">
        <w:r w:rsidRPr="004A7F38">
          <w:rPr>
            <w:rStyle w:val="Hyperlink"/>
          </w:rPr>
          <w:t>anderson.pelluso@ppe.ufrj.br</w:t>
        </w:r>
      </w:hyperlink>
    </w:p>
    <w:p w14:paraId="670FBFAF" w14:textId="77777777" w:rsidR="007233CE" w:rsidRDefault="007233CE">
      <w:pPr>
        <w:pStyle w:val="Corpodetexto"/>
        <w:spacing w:before="1"/>
        <w:ind w:left="112" w:right="103" w:firstLine="64"/>
        <w:jc w:val="right"/>
      </w:pPr>
    </w:p>
    <w:p w14:paraId="52591F2C" w14:textId="16F2D3F2" w:rsidR="007233CE" w:rsidRPr="006B6240" w:rsidRDefault="007233CE">
      <w:pPr>
        <w:pStyle w:val="Corpodetexto"/>
        <w:spacing w:before="1"/>
        <w:ind w:left="112" w:right="103" w:firstLine="64"/>
        <w:jc w:val="right"/>
        <w:rPr>
          <w:spacing w:val="1"/>
          <w:lang w:val="pt-BR"/>
        </w:rPr>
      </w:pPr>
      <w:r w:rsidRPr="006B6240">
        <w:rPr>
          <w:lang w:val="pt-BR"/>
        </w:rPr>
        <w:t>Diego Amaral</w:t>
      </w:r>
      <w:r w:rsidR="00D04C04" w:rsidRPr="006B6240">
        <w:rPr>
          <w:lang w:val="pt-BR"/>
        </w:rPr>
        <w:t xml:space="preserve">, </w:t>
      </w:r>
      <w:r w:rsidRPr="006B6240">
        <w:rPr>
          <w:lang w:val="pt-BR"/>
        </w:rPr>
        <w:t>PPE - COPPE/UFRJ</w:t>
      </w:r>
      <w:r w:rsidR="00D04C04" w:rsidRPr="006B6240">
        <w:rPr>
          <w:lang w:val="pt-BR"/>
        </w:rPr>
        <w:t xml:space="preserve">, +5581999796116, </w:t>
      </w:r>
      <w:hyperlink r:id="rId7">
        <w:r w:rsidR="4E27F013" w:rsidRPr="006B6240">
          <w:rPr>
            <w:rStyle w:val="Hyperlink"/>
            <w:lang w:val="pt-BR"/>
          </w:rPr>
          <w:t>diego.amaral@ppe.ufrj.br</w:t>
        </w:r>
      </w:hyperlink>
    </w:p>
    <w:p w14:paraId="72506A4B" w14:textId="77777777" w:rsidR="00ED5E2E" w:rsidRPr="009F244D" w:rsidRDefault="00ED5E2E">
      <w:pPr>
        <w:pStyle w:val="Corpodetexto"/>
        <w:rPr>
          <w:sz w:val="22"/>
          <w:lang w:val="pt-BR"/>
        </w:rPr>
      </w:pPr>
    </w:p>
    <w:p w14:paraId="3B96D52B" w14:textId="1C939816" w:rsidR="00931774" w:rsidRDefault="001267C1" w:rsidP="00931774">
      <w:pPr>
        <w:pStyle w:val="Corpodetexto"/>
        <w:spacing w:before="1"/>
        <w:ind w:left="112" w:right="103" w:firstLine="64"/>
        <w:jc w:val="right"/>
        <w:rPr>
          <w:lang w:val="pt-BR"/>
        </w:rPr>
      </w:pPr>
      <w:r w:rsidRPr="00E713BF">
        <w:rPr>
          <w:lang w:val="pt-BR"/>
        </w:rPr>
        <w:t>Joana Portugal Pereira, PPE - COPPE/UFRJ,</w:t>
      </w:r>
      <w:r w:rsidRPr="00FD5414">
        <w:rPr>
          <w:lang w:val="pt-BR"/>
        </w:rPr>
        <w:t xml:space="preserve"> </w:t>
      </w:r>
      <w:r w:rsidR="00931774" w:rsidRPr="00931774">
        <w:rPr>
          <w:lang w:val="pt-BR"/>
        </w:rPr>
        <w:t>joana.portugal@ppe.ufrj.br</w:t>
      </w:r>
      <w:r w:rsidRPr="00E713BF">
        <w:rPr>
          <w:spacing w:val="-2"/>
          <w:lang w:val="pt-BR"/>
        </w:rPr>
        <w:t xml:space="preserve"> </w:t>
      </w:r>
    </w:p>
    <w:p w14:paraId="394BFF0E" w14:textId="41C022CC" w:rsidR="007233CE" w:rsidRPr="006B6240" w:rsidRDefault="007233CE">
      <w:pPr>
        <w:pStyle w:val="Corpodetexto"/>
        <w:spacing w:before="1"/>
        <w:ind w:left="112" w:right="103" w:firstLine="64"/>
        <w:jc w:val="right"/>
        <w:rPr>
          <w:lang w:val="pt-BR"/>
        </w:rPr>
      </w:pPr>
    </w:p>
    <w:p w14:paraId="2B374D61" w14:textId="7B2C01D4" w:rsidR="001267C1" w:rsidRPr="00FD5414" w:rsidRDefault="007233CE" w:rsidP="478BC24F">
      <w:pPr>
        <w:pStyle w:val="Corpodetexto"/>
        <w:spacing w:before="1"/>
        <w:ind w:left="112" w:right="103" w:firstLine="64"/>
        <w:jc w:val="right"/>
        <w:rPr>
          <w:sz w:val="22"/>
        </w:rPr>
        <w:sectPr w:rsidR="001267C1" w:rsidRPr="00FD5414" w:rsidSect="00F4645A">
          <w:type w:val="continuous"/>
          <w:pgSz w:w="12240" w:h="15840"/>
          <w:pgMar w:top="1240" w:right="620" w:bottom="280" w:left="600" w:header="720" w:footer="720" w:gutter="0"/>
          <w:cols w:num="2" w:space="720" w:equalWidth="0">
            <w:col w:w="6778" w:space="49"/>
            <w:col w:w="4193"/>
          </w:cols>
        </w:sectPr>
      </w:pPr>
      <w:r>
        <w:t xml:space="preserve">Alexandre </w:t>
      </w:r>
      <w:r w:rsidRPr="007233CE">
        <w:t>Szklo</w:t>
      </w:r>
      <w:r w:rsidR="00D04C04">
        <w:t>,</w:t>
      </w:r>
      <w:r>
        <w:t xml:space="preserve"> PPE - COPPE/UFRJ</w:t>
      </w:r>
      <w:r w:rsidR="00D04C04">
        <w:t>,</w:t>
      </w:r>
      <w:r w:rsidR="00D04C04">
        <w:rPr>
          <w:spacing w:val="-2"/>
        </w:rPr>
        <w:t xml:space="preserve"> </w:t>
      </w:r>
      <w:r w:rsidR="00931774">
        <w:rPr>
          <w:color w:val="222222"/>
          <w:shd w:val="clear" w:color="auto" w:fill="FFFFFF"/>
        </w:rPr>
        <w:t>szklo@ppe.ufrj.br</w:t>
      </w:r>
    </w:p>
    <w:p w14:paraId="03A045FA" w14:textId="77777777" w:rsidR="001267C1" w:rsidRPr="00FD5414" w:rsidRDefault="001267C1" w:rsidP="00A32A69">
      <w:pPr>
        <w:pStyle w:val="Corpodetexto"/>
        <w:rPr>
          <w:sz w:val="22"/>
        </w:rPr>
      </w:pPr>
    </w:p>
    <w:p w14:paraId="7613878C" w14:textId="751477ED" w:rsidR="00ED5E2E" w:rsidRDefault="00D04C04" w:rsidP="001E45DA">
      <w:pPr>
        <w:pStyle w:val="Ttulo1"/>
      </w:pPr>
      <w:r>
        <w:t>Overview</w:t>
      </w:r>
    </w:p>
    <w:p w14:paraId="7FD84EC1" w14:textId="77777777" w:rsidR="001E45DA" w:rsidRPr="001E45DA" w:rsidRDefault="001E45DA" w:rsidP="001E45DA">
      <w:pPr>
        <w:pStyle w:val="Ttulo1"/>
      </w:pPr>
    </w:p>
    <w:p w14:paraId="0562E47E" w14:textId="6499898C" w:rsidR="001E45DA" w:rsidRDefault="478BC24F" w:rsidP="001E45DA">
      <w:pPr>
        <w:pStyle w:val="Corpodetexto"/>
        <w:ind w:firstLine="720"/>
        <w:jc w:val="both"/>
      </w:pPr>
      <w:r>
        <w:t>With the increase in anthropogenic greenhouse gas (GHG) emissions</w:t>
      </w:r>
      <w:r w:rsidR="004615E1">
        <w:t>, the world is currently facing a climate crisis</w:t>
      </w:r>
      <w:r>
        <w:t>. In response to this, 19</w:t>
      </w:r>
      <w:r w:rsidR="007C0B82">
        <w:t>5</w:t>
      </w:r>
      <w:r>
        <w:t xml:space="preserve"> </w:t>
      </w:r>
      <w:r w:rsidR="009F244D">
        <w:t xml:space="preserve">members of the United Nations </w:t>
      </w:r>
      <w:r>
        <w:t xml:space="preserve">committed to reducing their emissions under the Paris Agreement. In the transportation sector, where a significant portion of emissions occurs, there is a focus on replacing </w:t>
      </w:r>
      <w:r w:rsidR="009363CB">
        <w:t xml:space="preserve">carbon intensive </w:t>
      </w:r>
      <w:r w:rsidR="00E166BB">
        <w:t>technologies</w:t>
      </w:r>
      <w:r>
        <w:t xml:space="preserve"> with cleaner alternatives such as</w:t>
      </w:r>
      <w:r w:rsidR="009363CB">
        <w:t xml:space="preserve"> electric vehicles </w:t>
      </w:r>
      <w:r w:rsidR="006C3C09">
        <w:t>associated with</w:t>
      </w:r>
      <w:r>
        <w:t xml:space="preserve"> solar</w:t>
      </w:r>
      <w:r w:rsidR="006C3C09">
        <w:t xml:space="preserve"> and</w:t>
      </w:r>
      <w:r>
        <w:t xml:space="preserve"> wind</w:t>
      </w:r>
      <w:r w:rsidR="006C3C09">
        <w:t xml:space="preserve"> power</w:t>
      </w:r>
      <w:r>
        <w:t xml:space="preserve">, </w:t>
      </w:r>
      <w:r w:rsidR="006C3C09">
        <w:t xml:space="preserve">or </w:t>
      </w:r>
      <w:r>
        <w:t xml:space="preserve">biomass </w:t>
      </w:r>
      <w:r w:rsidR="00DA28FE">
        <w:t xml:space="preserve">fuels </w:t>
      </w:r>
      <w:r w:rsidR="006C3C09">
        <w:t>where internal combustion is still used</w:t>
      </w:r>
      <w:r>
        <w:t xml:space="preserve">. Aviation has particular challenges due to its dependence on fossil fuels. </w:t>
      </w:r>
      <w:r w:rsidR="003B5C64">
        <w:t>This sector is</w:t>
      </w:r>
      <w:r w:rsidR="004B5CB7">
        <w:t xml:space="preserve"> hard to electrify and requires fuels to </w:t>
      </w:r>
      <w:r w:rsidR="005A4941">
        <w:t xml:space="preserve">have </w:t>
      </w:r>
      <w:r w:rsidR="003B5C64">
        <w:t>high energy density and low specific mass</w:t>
      </w:r>
      <w:r w:rsidR="0064441C">
        <w:t>, limiting low carbon approaches</w:t>
      </w:r>
      <w:r w:rsidR="003B5C64">
        <w:t xml:space="preserve">. </w:t>
      </w:r>
      <w:r>
        <w:t xml:space="preserve">To address this, the International Civil Aviation Organization (ICAO) has established </w:t>
      </w:r>
      <w:r w:rsidR="0064441C">
        <w:t>the</w:t>
      </w:r>
      <w:r w:rsidR="00D61CDC">
        <w:t xml:space="preserve"> </w:t>
      </w:r>
      <w:r w:rsidR="00D61CDC" w:rsidRPr="00D61CDC">
        <w:t>Carbon Offsetting and Reduction Scheme for International Aviation (CORSIA</w:t>
      </w:r>
      <w:r w:rsidR="00D61CDC">
        <w:t>)</w:t>
      </w:r>
      <w:r>
        <w:t>,</w:t>
      </w:r>
      <w:r w:rsidR="00D61CDC">
        <w:t xml:space="preserve"> which</w:t>
      </w:r>
      <w:r>
        <w:t xml:space="preserve"> </w:t>
      </w:r>
      <w:r w:rsidR="00D61CDC">
        <w:t xml:space="preserve">includes as strategies </w:t>
      </w:r>
      <w:r>
        <w:t xml:space="preserve">the use of </w:t>
      </w:r>
      <w:r w:rsidR="000105EA">
        <w:t xml:space="preserve">bio-based </w:t>
      </w:r>
      <w:r>
        <w:t xml:space="preserve">sustainable aviation fuels (bioSAF) and </w:t>
      </w:r>
      <w:r w:rsidR="00772429">
        <w:t xml:space="preserve">development of projects for carbon </w:t>
      </w:r>
      <w:r>
        <w:t xml:space="preserve">emission offsets. </w:t>
      </w:r>
    </w:p>
    <w:p w14:paraId="241F2DC9" w14:textId="4BA4A337" w:rsidR="009F244D" w:rsidRDefault="00EE2B59" w:rsidP="009F244D">
      <w:pPr>
        <w:pStyle w:val="Corpodetexto"/>
        <w:ind w:firstLine="720"/>
        <w:jc w:val="both"/>
      </w:pPr>
      <w:r>
        <w:t>When considering</w:t>
      </w:r>
      <w:r w:rsidR="00F808B5">
        <w:t xml:space="preserve"> life cycle emissions and</w:t>
      </w:r>
      <w:r>
        <w:t xml:space="preserve"> non-</w:t>
      </w:r>
      <w:r w:rsidRPr="00EE2B59">
        <w:t>CO</w:t>
      </w:r>
      <w:r w:rsidRPr="00EE2B59">
        <w:rPr>
          <w:vertAlign w:val="subscript"/>
        </w:rPr>
        <w:t>2</w:t>
      </w:r>
      <w:r>
        <w:t xml:space="preserve"> </w:t>
      </w:r>
      <w:r w:rsidR="00D3279E">
        <w:t>GHG</w:t>
      </w:r>
      <w:r w:rsidR="478BC24F">
        <w:t xml:space="preserve">, there is no bioSAF production with zero GHG emissions, which means carbon </w:t>
      </w:r>
      <w:r w:rsidR="00936C68">
        <w:t>di</w:t>
      </w:r>
      <w:r w:rsidR="006E435F">
        <w:t>oxide</w:t>
      </w:r>
      <w:r w:rsidR="00936C68">
        <w:t xml:space="preserve"> removal </w:t>
      </w:r>
      <w:r w:rsidR="478BC24F">
        <w:t>(</w:t>
      </w:r>
      <w:r w:rsidR="006E435F">
        <w:t>CDR</w:t>
      </w:r>
      <w:r w:rsidR="478BC24F">
        <w:t xml:space="preserve">) </w:t>
      </w:r>
      <w:r w:rsidR="00936C68">
        <w:t>would be</w:t>
      </w:r>
      <w:r w:rsidR="478BC24F">
        <w:t xml:space="preserve"> needed to achieve net-zero using such fuels (</w:t>
      </w:r>
      <w:r w:rsidR="005D48C6" w:rsidRPr="00FD5414">
        <w:t>Bergero et al. 2022</w:t>
      </w:r>
      <w:r w:rsidR="00DB5545">
        <w:t xml:space="preserve">; </w:t>
      </w:r>
      <w:r w:rsidR="478BC24F">
        <w:t>ICAO, 2022). Additionally, the use of biochar in soils has been considered as a form of C</w:t>
      </w:r>
      <w:r w:rsidR="002751AA">
        <w:t>DR</w:t>
      </w:r>
      <w:r w:rsidR="478BC24F">
        <w:t xml:space="preserve">. Biochar, a carbon-rich solid produced from biomass via pyrolysis, has shown potential as solid storage of carbon removed by photosynthesis when applied to soils. Studies suggest biochar </w:t>
      </w:r>
      <w:r w:rsidR="00D609F2">
        <w:t xml:space="preserve">from bagasse sugarcane </w:t>
      </w:r>
      <w:r w:rsidR="478BC24F">
        <w:t>can sequester significant amounts of carbon, with estimates ranging from 1.8 to 6.3 t</w:t>
      </w:r>
      <m:oMath>
        <m:sSub>
          <m:sSubPr>
            <m:ctrlPr>
              <w:rPr>
                <w:rFonts w:ascii="Cambria Math" w:hAnsi="Cambria Math"/>
                <w:i/>
              </w:rPr>
            </m:ctrlPr>
          </m:sSubPr>
          <m:e>
            <m:r>
              <m:rPr>
                <m:sty m:val="p"/>
              </m:rPr>
              <w:rPr>
                <w:rFonts w:ascii="Cambria Math" w:hAnsi="Cambria Math"/>
              </w:rPr>
              <m:t>CO</m:t>
            </m:r>
          </m:e>
          <m:sub>
            <m:r>
              <w:rPr>
                <w:rFonts w:ascii="Cambria Math" w:hAnsi="Cambria Math"/>
              </w:rPr>
              <m:t>2eq</m:t>
            </m:r>
          </m:sub>
        </m:sSub>
      </m:oMath>
      <w:r w:rsidR="478BC24F">
        <w:t>/ha and even higher at a global scale (Lefebvre et al. 2021)</w:t>
      </w:r>
      <w:r w:rsidR="00D609F2">
        <w:t xml:space="preserve">. </w:t>
      </w:r>
      <w:r w:rsidR="007B4286" w:rsidRPr="007B4286">
        <w:t xml:space="preserve">Another option is to use </w:t>
      </w:r>
      <w:r w:rsidR="007B4286">
        <w:t xml:space="preserve">sugarcane </w:t>
      </w:r>
      <w:r w:rsidR="007B4286" w:rsidRPr="007B4286">
        <w:t>straw</w:t>
      </w:r>
      <w:r w:rsidR="000A3A91">
        <w:t xml:space="preserve"> to become biochar</w:t>
      </w:r>
      <w:r w:rsidR="007B4286">
        <w:t xml:space="preserve"> </w:t>
      </w:r>
      <w:sdt>
        <w:sdtPr>
          <w:rPr>
            <w:color w:val="000000"/>
          </w:rPr>
          <w:tag w:val="MENDELEY_CITATION_v3_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"/>
          <w:id w:val="-17083078"/>
          <w:placeholder>
            <w:docPart w:val="65276964CB854C47BA0244F6153013D6"/>
          </w:placeholder>
        </w:sdtPr>
        <w:sdtEndPr/>
        <w:sdtContent>
          <w:r w:rsidR="007B4286" w:rsidRPr="007B4286">
            <w:rPr>
              <w:color w:val="000000"/>
            </w:rPr>
            <w:t>(Teixeira, 2023)</w:t>
          </w:r>
        </w:sdtContent>
      </w:sdt>
      <w:r w:rsidR="478BC24F">
        <w:t>. Pairing biochar and bioSAF use</w:t>
      </w:r>
      <w:r w:rsidR="007A3943">
        <w:t xml:space="preserve"> in an integrated production system</w:t>
      </w:r>
      <w:r w:rsidR="478BC24F">
        <w:t xml:space="preserve">, may </w:t>
      </w:r>
      <w:r w:rsidR="00492C5C">
        <w:t>be possible</w:t>
      </w:r>
      <w:r w:rsidR="478BC24F">
        <w:t xml:space="preserve">, and potentially could </w:t>
      </w:r>
      <w:r w:rsidR="000E7FCA">
        <w:t xml:space="preserve">result in </w:t>
      </w:r>
      <w:r w:rsidR="478BC24F">
        <w:t>a solution</w:t>
      </w:r>
      <w:r w:rsidR="000E7FCA">
        <w:t xml:space="preserve"> that combines </w:t>
      </w:r>
      <w:r w:rsidR="00F4249A">
        <w:t>carbon offsetting and reduction, achieving</w:t>
      </w:r>
      <w:r w:rsidR="478BC24F">
        <w:t xml:space="preserve"> </w:t>
      </w:r>
      <w:r w:rsidR="00A50D63">
        <w:t>neutral</w:t>
      </w:r>
      <w:r w:rsidR="478BC24F">
        <w:t xml:space="preserve"> emissions while providing agricultural benefits. </w:t>
      </w:r>
    </w:p>
    <w:p w14:paraId="76C831B5" w14:textId="3FE3BEFE" w:rsidR="001E45DA" w:rsidRDefault="009F244D" w:rsidP="001E45DA">
      <w:pPr>
        <w:pStyle w:val="Corpodetexto"/>
        <w:ind w:firstLine="720"/>
        <w:jc w:val="both"/>
      </w:pPr>
      <w:r w:rsidRPr="00F72F4A">
        <w:t xml:space="preserve">According to Conab data, the average sugarcane production for the 2021/2022 and 2022/2023 harvests was 594 million tonnes of sugarcane. This resulted in approximately 36 million tonnes of sugar and 27 billion liters of ethanol. </w:t>
      </w:r>
      <w:r w:rsidRPr="00F878FE">
        <w:t>With Brazil already established as a leading producer of sugarcane and ethanol, it demonstrates the country's potential to become a significant player in the Alcohol-to-Jet (ATJ) market</w:t>
      </w:r>
      <w:r>
        <w:t xml:space="preserve">. </w:t>
      </w:r>
      <w:r w:rsidR="478BC24F">
        <w:t xml:space="preserve">Brazil’s expertise in agriculture and biofuels, especially sugarcane, positions it strategically for such initiatives. </w:t>
      </w:r>
      <w:r>
        <w:t>Also, s</w:t>
      </w:r>
      <w:r w:rsidR="478BC24F">
        <w:t>tudies on biochar from sugarcane residues have demonstrated positive results in soil remediation, indicating its potential for broader environmental benefits.</w:t>
      </w:r>
    </w:p>
    <w:p w14:paraId="57E6455F" w14:textId="1941194E" w:rsidR="00ED5E2E" w:rsidRDefault="001E45DA" w:rsidP="478BC24F">
      <w:pPr>
        <w:pStyle w:val="Corpodetexto"/>
        <w:jc w:val="both"/>
        <w:rPr>
          <w:rFonts w:ascii="Arial"/>
          <w:b/>
          <w:bCs/>
        </w:rPr>
      </w:pPr>
      <w:r>
        <w:rPr>
          <w:bCs/>
        </w:rPr>
        <w:tab/>
      </w:r>
      <w:r w:rsidRPr="478BC24F">
        <w:t>Therefore, the aim of this study is to assess the climate mitigation benefits of jointly producing bioSAF and biochar from sugarcane. The evaluated pathway for the biofuel is ATJ, with its carbon intensity</w:t>
      </w:r>
      <w:r w:rsidR="00071397">
        <w:t xml:space="preserve"> (CI)</w:t>
      </w:r>
      <w:r w:rsidRPr="478BC24F">
        <w:t xml:space="preserve"> </w:t>
      </w:r>
      <w:r w:rsidR="00E13622" w:rsidRPr="478BC24F">
        <w:t>obtained from ICAO (2022)</w:t>
      </w:r>
      <w:r w:rsidRPr="478BC24F">
        <w:t xml:space="preserve">. Biochar is evaluated in terms of its production potential and carbon </w:t>
      </w:r>
      <w:r w:rsidR="00CA5CF8">
        <w:t xml:space="preserve">dioxide removal </w:t>
      </w:r>
      <w:r w:rsidRPr="478BC24F">
        <w:t>capabilities</w:t>
      </w:r>
      <w:r w:rsidR="00294662" w:rsidRPr="478BC24F">
        <w:t xml:space="preserve"> using data from </w:t>
      </w:r>
      <w:r w:rsidR="004F1B76" w:rsidRPr="478BC24F">
        <w:t>Conab (2023)</w:t>
      </w:r>
      <w:r w:rsidR="00AA7C0D" w:rsidRPr="478BC24F">
        <w:t xml:space="preserve">, Lefebvre at al. (2021) and </w:t>
      </w:r>
      <w:r w:rsidR="006067B0" w:rsidRPr="478BC24F">
        <w:t>Quirk et al. (2012)</w:t>
      </w:r>
      <w:r w:rsidRPr="478BC24F">
        <w:t>. Finally, calculations are made to determine how the inclusion of biochar in the ATJ production process influences the mitigation potential of the studied bioSAF.</w:t>
      </w:r>
      <w:r w:rsidR="00417A11" w:rsidRPr="478BC24F">
        <w:t xml:space="preserve"> Preliminary results suggest that</w:t>
      </w:r>
      <w:r w:rsidR="002A33F1" w:rsidRPr="478BC24F">
        <w:t xml:space="preserve"> </w:t>
      </w:r>
      <w:r w:rsidR="00071397">
        <w:t xml:space="preserve">for every MJ of ATJ produced, when </w:t>
      </w:r>
      <w:r w:rsidR="002A33F1" w:rsidRPr="478BC24F">
        <w:t xml:space="preserve">using bagasse to produce biochar </w:t>
      </w:r>
      <w:r w:rsidR="00071397">
        <w:t xml:space="preserve">for CDR, the </w:t>
      </w:r>
      <w:r w:rsidR="00F022B4" w:rsidRPr="478BC24F">
        <w:t xml:space="preserve">GHG </w:t>
      </w:r>
      <w:r w:rsidR="00071397">
        <w:t>offsetting</w:t>
      </w:r>
      <w:r w:rsidR="00071397" w:rsidRPr="478BC24F">
        <w:t xml:space="preserve"> </w:t>
      </w:r>
      <w:r w:rsidR="00071397">
        <w:t>is</w:t>
      </w:r>
      <w:r w:rsidR="007A049E" w:rsidRPr="478BC24F">
        <w:t xml:space="preserve"> </w:t>
      </w:r>
      <w:r w:rsidR="00A667C9">
        <w:t>66.1</w:t>
      </w:r>
      <w:r w:rsidR="007A049E">
        <w:rPr>
          <w:bCs/>
        </w:rPr>
        <w:t xml:space="preserve"> </w:t>
      </w:r>
      <w:r w:rsidR="001B6361" w:rsidRPr="478BC24F">
        <w:t>gCO</w:t>
      </w:r>
      <w:r w:rsidR="001B6361" w:rsidRPr="00FD5414">
        <w:rPr>
          <w:vertAlign w:val="subscript"/>
        </w:rPr>
        <w:t>2eq</w:t>
      </w:r>
      <w:r w:rsidR="00071397">
        <w:t>.</w:t>
      </w:r>
      <w:r w:rsidR="004B1BD4" w:rsidRPr="478BC24F">
        <w:t xml:space="preserve"> </w:t>
      </w:r>
      <w:r w:rsidR="00071397">
        <w:t>The</w:t>
      </w:r>
      <w:r w:rsidR="004B1BD4" w:rsidRPr="478BC24F">
        <w:t xml:space="preserve"> ATJ production</w:t>
      </w:r>
      <w:r w:rsidR="00071397">
        <w:t xml:space="preserve"> results in 24.1 gCO</w:t>
      </w:r>
      <w:r w:rsidR="00071397">
        <w:rPr>
          <w:vertAlign w:val="subscript"/>
        </w:rPr>
        <w:t>2eq</w:t>
      </w:r>
      <w:r w:rsidR="00071397">
        <w:t>/MJ (ICAO 2022)</w:t>
      </w:r>
      <w:r w:rsidR="004B1BD4" w:rsidRPr="478BC24F">
        <w:t>,</w:t>
      </w:r>
      <w:r w:rsidR="00071397">
        <w:t xml:space="preserve"> which represents a </w:t>
      </w:r>
      <w:r w:rsidR="004B0C3C" w:rsidRPr="478BC24F">
        <w:t>74%</w:t>
      </w:r>
      <w:r w:rsidR="00071397">
        <w:t xml:space="preserve"> mitigation compared to </w:t>
      </w:r>
      <w:r w:rsidR="004B0C3C" w:rsidRPr="478BC24F">
        <w:t>fossil jet fuel</w:t>
      </w:r>
      <w:r w:rsidR="00071397">
        <w:t>’s CI</w:t>
      </w:r>
      <w:r w:rsidR="004B0C3C" w:rsidRPr="478BC24F">
        <w:t>.</w:t>
      </w:r>
      <w:r w:rsidR="00045CD7" w:rsidRPr="478BC24F">
        <w:t xml:space="preserve"> </w:t>
      </w:r>
      <w:r w:rsidR="00071397">
        <w:t>When considering both the mitigation from ATJ and offsetting from biochar</w:t>
      </w:r>
      <w:r w:rsidR="00B35299">
        <w:t xml:space="preserve">, </w:t>
      </w:r>
      <w:r w:rsidR="00A667C9">
        <w:t xml:space="preserve">liquid </w:t>
      </w:r>
      <w:r w:rsidR="00B35299">
        <w:t xml:space="preserve">emissions are </w:t>
      </w:r>
      <w:r w:rsidR="00A667C9">
        <w:t>- 42</w:t>
      </w:r>
      <w:r w:rsidR="00B35299">
        <w:t xml:space="preserve"> </w:t>
      </w:r>
      <w:r w:rsidR="00A667C9">
        <w:t>gCO</w:t>
      </w:r>
      <w:r w:rsidR="00A667C9">
        <w:rPr>
          <w:vertAlign w:val="subscript"/>
        </w:rPr>
        <w:t>2eq</w:t>
      </w:r>
      <w:r w:rsidR="00A667C9">
        <w:t xml:space="preserve">/MJ </w:t>
      </w:r>
      <w:r w:rsidR="00B71E13">
        <w:t>which is 147% less</w:t>
      </w:r>
      <w:r w:rsidR="00A667C9">
        <w:t xml:space="preserve"> </w:t>
      </w:r>
      <w:r w:rsidR="00B35299">
        <w:t xml:space="preserve">than those from using fossil jet fuel with no offsetting. </w:t>
      </w:r>
      <w:r w:rsidR="00045CD7" w:rsidRPr="478BC24F">
        <w:t>To further improve analysis, future studies must</w:t>
      </w:r>
      <w:r w:rsidR="008D2A2B" w:rsidRPr="478BC24F">
        <w:t xml:space="preserve"> address uncertainties such as biochar </w:t>
      </w:r>
      <w:r w:rsidR="00FE7AD3" w:rsidRPr="478BC24F">
        <w:t xml:space="preserve">characteristics </w:t>
      </w:r>
      <w:r w:rsidR="008D2A2B" w:rsidRPr="478BC24F">
        <w:t xml:space="preserve">and </w:t>
      </w:r>
      <w:r w:rsidR="00CF1AFC" w:rsidRPr="478BC24F">
        <w:t xml:space="preserve">types </w:t>
      </w:r>
      <w:r w:rsidR="00CF1AFC">
        <w:t xml:space="preserve">of </w:t>
      </w:r>
      <w:r w:rsidR="008D2A2B" w:rsidRPr="478BC24F">
        <w:t>soil combination as</w:t>
      </w:r>
      <w:r w:rsidR="00CD3F15" w:rsidRPr="478BC24F">
        <w:t xml:space="preserve"> determinant factor for carbon removal potential. </w:t>
      </w:r>
    </w:p>
    <w:p w14:paraId="38003E34" w14:textId="77777777" w:rsidR="00ED5E2E" w:rsidRDefault="00ED5E2E">
      <w:pPr>
        <w:pStyle w:val="Corpodetexto"/>
        <w:rPr>
          <w:rFonts w:ascii="Arial"/>
          <w:b/>
          <w:sz w:val="23"/>
        </w:rPr>
      </w:pPr>
    </w:p>
    <w:p w14:paraId="7C5F31EB" w14:textId="28522EC3" w:rsidR="00ED5E2E" w:rsidRDefault="00D04C04">
      <w:pPr>
        <w:ind w:left="840"/>
        <w:rPr>
          <w:rFonts w:ascii="Arial"/>
          <w:b/>
          <w:sz w:val="24"/>
        </w:rPr>
      </w:pPr>
      <w:r>
        <w:rPr>
          <w:rFonts w:ascii="Arial"/>
          <w:b/>
          <w:sz w:val="24"/>
        </w:rPr>
        <w:t>Methods</w:t>
      </w:r>
    </w:p>
    <w:p w14:paraId="6B0B0D30" w14:textId="77777777" w:rsidR="00ED5E2E" w:rsidRDefault="00ED5E2E">
      <w:pPr>
        <w:pStyle w:val="Corpodetexto"/>
        <w:rPr>
          <w:rFonts w:ascii="Arial"/>
          <w:b/>
        </w:rPr>
      </w:pPr>
    </w:p>
    <w:p w14:paraId="121629D4" w14:textId="0B3ABC63" w:rsidR="00DA267B" w:rsidRDefault="00194D5F" w:rsidP="00194D5F">
      <w:pPr>
        <w:pStyle w:val="Corpodetexto"/>
        <w:ind w:firstLine="720"/>
        <w:jc w:val="both"/>
        <w:rPr>
          <w:bCs/>
        </w:rPr>
      </w:pPr>
      <w:r w:rsidRPr="00194D5F">
        <w:rPr>
          <w:bCs/>
        </w:rPr>
        <w:t xml:space="preserve">This study </w:t>
      </w:r>
      <w:r w:rsidR="001802C8">
        <w:rPr>
          <w:bCs/>
        </w:rPr>
        <w:t xml:space="preserve">is divided in </w:t>
      </w:r>
      <w:r w:rsidR="009C7AF0">
        <w:rPr>
          <w:bCs/>
        </w:rPr>
        <w:t>four</w:t>
      </w:r>
      <w:r w:rsidR="001802C8">
        <w:rPr>
          <w:bCs/>
        </w:rPr>
        <w:t xml:space="preserve"> sections</w:t>
      </w:r>
      <w:r w:rsidR="00B33DBA">
        <w:rPr>
          <w:bCs/>
        </w:rPr>
        <w:t xml:space="preserve">: (i) </w:t>
      </w:r>
      <w:r w:rsidR="0009508C">
        <w:rPr>
          <w:bCs/>
        </w:rPr>
        <w:t xml:space="preserve">description of integrated production system, (ii) biochar yield, (iii) CDR </w:t>
      </w:r>
      <w:r w:rsidR="00CE39D8">
        <w:rPr>
          <w:bCs/>
        </w:rPr>
        <w:t>estimation</w:t>
      </w:r>
      <w:r w:rsidR="0009508C">
        <w:rPr>
          <w:bCs/>
        </w:rPr>
        <w:t xml:space="preserve">, (iv) integrated </w:t>
      </w:r>
      <w:r w:rsidR="009C7AF0">
        <w:rPr>
          <w:bCs/>
        </w:rPr>
        <w:t>carbon offset and reduction.</w:t>
      </w:r>
    </w:p>
    <w:p w14:paraId="0C198BEF" w14:textId="717490B6" w:rsidR="00B44328" w:rsidRDefault="00DA267B" w:rsidP="00256CF6">
      <w:pPr>
        <w:pStyle w:val="Corpodetexto"/>
        <w:ind w:firstLine="720"/>
        <w:jc w:val="both"/>
        <w:rPr>
          <w:bCs/>
        </w:rPr>
      </w:pPr>
      <w:r>
        <w:rPr>
          <w:bCs/>
        </w:rPr>
        <w:t xml:space="preserve">First, </w:t>
      </w:r>
      <w:r w:rsidR="00055303">
        <w:rPr>
          <w:bCs/>
        </w:rPr>
        <w:t>the bound</w:t>
      </w:r>
      <w:r w:rsidR="0041625E">
        <w:rPr>
          <w:bCs/>
        </w:rPr>
        <w:t>aries of an integrated system to jointly produce AtJ and biochar from sugarcane is desi</w:t>
      </w:r>
      <w:r w:rsidR="00256CF6">
        <w:rPr>
          <w:bCs/>
        </w:rPr>
        <w:t>gned. I</w:t>
      </w:r>
      <w:r>
        <w:rPr>
          <w:bCs/>
        </w:rPr>
        <w:t xml:space="preserve">t is </w:t>
      </w:r>
      <w:r w:rsidR="00194D5F" w:rsidRPr="00194D5F">
        <w:rPr>
          <w:bCs/>
        </w:rPr>
        <w:t>assume</w:t>
      </w:r>
      <w:r>
        <w:rPr>
          <w:bCs/>
        </w:rPr>
        <w:t>d</w:t>
      </w:r>
      <w:r w:rsidR="00194D5F" w:rsidRPr="00194D5F">
        <w:rPr>
          <w:bCs/>
        </w:rPr>
        <w:t xml:space="preserve"> that ethanol, currently used in light</w:t>
      </w:r>
      <w:r w:rsidR="00033007">
        <w:rPr>
          <w:bCs/>
        </w:rPr>
        <w:t xml:space="preserve"> urban</w:t>
      </w:r>
      <w:r w:rsidR="00194D5F" w:rsidRPr="00194D5F">
        <w:rPr>
          <w:bCs/>
        </w:rPr>
        <w:t xml:space="preserve"> vehicles</w:t>
      </w:r>
      <w:r w:rsidR="00CF1AFC">
        <w:rPr>
          <w:bCs/>
        </w:rPr>
        <w:t xml:space="preserve"> in Brazil</w:t>
      </w:r>
      <w:r w:rsidR="00194D5F" w:rsidRPr="00194D5F">
        <w:rPr>
          <w:bCs/>
        </w:rPr>
        <w:t>, would be redirected to air transport</w:t>
      </w:r>
      <w:r w:rsidR="006E333D">
        <w:rPr>
          <w:bCs/>
        </w:rPr>
        <w:t xml:space="preserve">. So </w:t>
      </w:r>
      <w:r w:rsidR="00DE61B2">
        <w:rPr>
          <w:bCs/>
        </w:rPr>
        <w:t xml:space="preserve">AtJ production </w:t>
      </w:r>
      <w:r w:rsidR="000A59D2">
        <w:rPr>
          <w:bCs/>
        </w:rPr>
        <w:t xml:space="preserve">is considered to </w:t>
      </w:r>
      <w:r w:rsidR="00256CF6">
        <w:rPr>
          <w:bCs/>
        </w:rPr>
        <w:t xml:space="preserve">have </w:t>
      </w:r>
      <w:r w:rsidR="000D2CC9">
        <w:rPr>
          <w:bCs/>
        </w:rPr>
        <w:t>similar characteristics to current Brazilian ethanol sector, such as s</w:t>
      </w:r>
      <w:r w:rsidR="008A0766">
        <w:rPr>
          <w:bCs/>
        </w:rPr>
        <w:t xml:space="preserve">ugarcane productivity, which </w:t>
      </w:r>
      <w:r w:rsidR="00950CBD">
        <w:rPr>
          <w:bCs/>
        </w:rPr>
        <w:t>is</w:t>
      </w:r>
      <w:r w:rsidR="008A0766">
        <w:rPr>
          <w:bCs/>
        </w:rPr>
        <w:t xml:space="preserve"> </w:t>
      </w:r>
      <w:r w:rsidR="00505C02">
        <w:rPr>
          <w:bCs/>
        </w:rPr>
        <w:t xml:space="preserve">an average of </w:t>
      </w:r>
      <w:r w:rsidR="0045307D">
        <w:rPr>
          <w:bCs/>
        </w:rPr>
        <w:t>71.6 t/ha</w:t>
      </w:r>
      <w:r w:rsidR="00950CBD">
        <w:rPr>
          <w:bCs/>
        </w:rPr>
        <w:t xml:space="preserve"> </w:t>
      </w:r>
      <w:r w:rsidR="0060433B" w:rsidRPr="00194D5F">
        <w:rPr>
          <w:bCs/>
        </w:rPr>
        <w:t xml:space="preserve">for the 2021/2022 and 2022/2023 crops </w:t>
      </w:r>
      <w:r w:rsidR="00950CBD">
        <w:rPr>
          <w:bCs/>
        </w:rPr>
        <w:t>(Conab, 2023)</w:t>
      </w:r>
      <w:r w:rsidR="0045307D">
        <w:rPr>
          <w:bCs/>
        </w:rPr>
        <w:t xml:space="preserve">. </w:t>
      </w:r>
      <w:r w:rsidR="00950CBD">
        <w:rPr>
          <w:bCs/>
        </w:rPr>
        <w:t>Th</w:t>
      </w:r>
      <w:r w:rsidR="00D61871">
        <w:rPr>
          <w:bCs/>
        </w:rPr>
        <w:t xml:space="preserve">is sugarcane will be entirely </w:t>
      </w:r>
      <w:r w:rsidR="000337D3">
        <w:rPr>
          <w:bCs/>
        </w:rPr>
        <w:t>directed</w:t>
      </w:r>
      <w:r w:rsidR="00D61871">
        <w:rPr>
          <w:bCs/>
        </w:rPr>
        <w:t xml:space="preserve"> </w:t>
      </w:r>
      <w:r w:rsidR="000337D3">
        <w:rPr>
          <w:bCs/>
        </w:rPr>
        <w:t>to</w:t>
      </w:r>
      <w:r w:rsidR="00D61871">
        <w:rPr>
          <w:bCs/>
        </w:rPr>
        <w:t xml:space="preserve"> AtJ</w:t>
      </w:r>
      <w:r w:rsidR="000337D3">
        <w:rPr>
          <w:bCs/>
        </w:rPr>
        <w:t xml:space="preserve"> production, so there is no sugar</w:t>
      </w:r>
      <w:r w:rsidR="00603317">
        <w:rPr>
          <w:bCs/>
        </w:rPr>
        <w:t xml:space="preserve"> being coproduced. On the other hand, </w:t>
      </w:r>
      <w:r w:rsidR="00336C04">
        <w:rPr>
          <w:bCs/>
        </w:rPr>
        <w:t xml:space="preserve">all </w:t>
      </w:r>
      <w:r w:rsidR="00603317">
        <w:rPr>
          <w:bCs/>
        </w:rPr>
        <w:t>the bagasse resulting from the process is</w:t>
      </w:r>
      <w:r w:rsidR="00336C04">
        <w:rPr>
          <w:bCs/>
        </w:rPr>
        <w:t xml:space="preserve"> assumed to be</w:t>
      </w:r>
      <w:r w:rsidR="00603317">
        <w:rPr>
          <w:bCs/>
        </w:rPr>
        <w:t xml:space="preserve"> </w:t>
      </w:r>
      <w:r w:rsidR="00544C0D">
        <w:rPr>
          <w:bCs/>
        </w:rPr>
        <w:t>intended for biochar production through pyrolysis.</w:t>
      </w:r>
      <w:r w:rsidR="00336C04">
        <w:rPr>
          <w:bCs/>
        </w:rPr>
        <w:t xml:space="preserve"> </w:t>
      </w:r>
    </w:p>
    <w:p w14:paraId="18306DA6" w14:textId="59ADD1BC" w:rsidR="006E333D" w:rsidRPr="00272B19" w:rsidRDefault="00544C0D" w:rsidP="00256CF6">
      <w:pPr>
        <w:pStyle w:val="Corpodetexto"/>
        <w:ind w:firstLine="720"/>
        <w:jc w:val="both"/>
        <w:rPr>
          <w:bCs/>
        </w:rPr>
      </w:pPr>
      <w:r>
        <w:rPr>
          <w:bCs/>
        </w:rPr>
        <w:t xml:space="preserve"> </w:t>
      </w:r>
      <w:r w:rsidR="00C77C3E">
        <w:rPr>
          <w:bCs/>
        </w:rPr>
        <w:t>Secondly, t</w:t>
      </w:r>
      <w:r w:rsidR="00FE29EE">
        <w:rPr>
          <w:bCs/>
        </w:rPr>
        <w:t xml:space="preserve">o estimate biochar yields, </w:t>
      </w:r>
      <w:r w:rsidR="00E747D0">
        <w:rPr>
          <w:bCs/>
        </w:rPr>
        <w:t xml:space="preserve">the bagasse fraction is needed. </w:t>
      </w:r>
      <w:r w:rsidR="000A7DBA">
        <w:rPr>
          <w:bCs/>
        </w:rPr>
        <w:t>Lefebvre et al. (2021) suggested that sugarcane produces 10.4 t/ha of bagasse</w:t>
      </w:r>
      <w:r w:rsidR="00CF0872">
        <w:rPr>
          <w:bCs/>
        </w:rPr>
        <w:t>, so this was the value adopted</w:t>
      </w:r>
      <w:r w:rsidR="000A3A91">
        <w:rPr>
          <w:bCs/>
        </w:rPr>
        <w:t>.</w:t>
      </w:r>
      <w:r w:rsidR="00D012DA">
        <w:rPr>
          <w:bCs/>
        </w:rPr>
        <w:t xml:space="preserve"> </w:t>
      </w:r>
      <w:r w:rsidR="005C0B07">
        <w:rPr>
          <w:bCs/>
        </w:rPr>
        <w:t xml:space="preserve">Furthermore, </w:t>
      </w:r>
      <w:r w:rsidR="005017E5">
        <w:rPr>
          <w:bCs/>
        </w:rPr>
        <w:t>Lefebvre et al</w:t>
      </w:r>
      <w:r w:rsidR="00246456">
        <w:rPr>
          <w:bCs/>
        </w:rPr>
        <w:t>. (20</w:t>
      </w:r>
      <w:r w:rsidR="005017E5">
        <w:rPr>
          <w:bCs/>
        </w:rPr>
        <w:t>23</w:t>
      </w:r>
      <w:r w:rsidR="00246456">
        <w:rPr>
          <w:bCs/>
        </w:rPr>
        <w:t xml:space="preserve">) indicates that </w:t>
      </w:r>
      <w:r w:rsidR="005017E5">
        <w:rPr>
          <w:bCs/>
        </w:rPr>
        <w:t>26</w:t>
      </w:r>
      <w:r w:rsidR="00246456">
        <w:rPr>
          <w:bCs/>
        </w:rPr>
        <w:t>% of bagasse mass is converted to biochar</w:t>
      </w:r>
      <w:r w:rsidR="001456C1">
        <w:rPr>
          <w:bCs/>
        </w:rPr>
        <w:t xml:space="preserve"> </w:t>
      </w:r>
      <w:r w:rsidR="00272B19">
        <w:rPr>
          <w:bCs/>
        </w:rPr>
        <w:t xml:space="preserve">via pyrolisys </w:t>
      </w:r>
      <w:r w:rsidR="005017E5">
        <w:rPr>
          <w:bCs/>
        </w:rPr>
        <w:t xml:space="preserve">process </w:t>
      </w:r>
      <w:r w:rsidR="001456C1">
        <w:rPr>
          <w:bCs/>
        </w:rPr>
        <w:t xml:space="preserve">and one tonne of biochar applied into the soil can </w:t>
      </w:r>
      <w:r w:rsidR="005017E5">
        <w:rPr>
          <w:bCs/>
        </w:rPr>
        <w:t>storage</w:t>
      </w:r>
      <w:r w:rsidR="00272B19">
        <w:rPr>
          <w:bCs/>
        </w:rPr>
        <w:t xml:space="preserve"> </w:t>
      </w:r>
      <w:r w:rsidR="005017E5">
        <w:rPr>
          <w:bCs/>
        </w:rPr>
        <w:t>0.638</w:t>
      </w:r>
      <w:r w:rsidR="00272B19">
        <w:rPr>
          <w:bCs/>
        </w:rPr>
        <w:t xml:space="preserve"> </w:t>
      </w:r>
      <w:r w:rsidR="005017E5">
        <w:rPr>
          <w:bCs/>
        </w:rPr>
        <w:t xml:space="preserve">tC which means 2.3 </w:t>
      </w:r>
      <w:r w:rsidR="00272B19">
        <w:rPr>
          <w:bCs/>
        </w:rPr>
        <w:t>tCO</w:t>
      </w:r>
      <w:r w:rsidR="00272B19">
        <w:rPr>
          <w:bCs/>
          <w:vertAlign w:val="subscript"/>
        </w:rPr>
        <w:t>2</w:t>
      </w:r>
      <w:r w:rsidR="00272B19">
        <w:rPr>
          <w:bCs/>
        </w:rPr>
        <w:t>.</w:t>
      </w:r>
    </w:p>
    <w:p w14:paraId="4102E4E4" w14:textId="4A7919A2" w:rsidR="009362A8" w:rsidRPr="00FD5414" w:rsidRDefault="009362A8" w:rsidP="00FD5414">
      <w:pPr>
        <w:pStyle w:val="Corpodetexto"/>
        <w:ind w:firstLine="720"/>
        <w:jc w:val="both"/>
      </w:pPr>
    </w:p>
    <w:p w14:paraId="5FCC064E" w14:textId="138C3858" w:rsidR="00033007" w:rsidRPr="00E17939" w:rsidRDefault="009362A8" w:rsidP="009362A8">
      <w:pPr>
        <w:pStyle w:val="Corpodetexto"/>
        <w:ind w:firstLine="720"/>
        <w:jc w:val="both"/>
        <w:rPr>
          <w:bCs/>
        </w:rPr>
      </w:pPr>
      <w:r w:rsidRPr="009362A8">
        <w:rPr>
          <w:bCs/>
        </w:rPr>
        <w:t xml:space="preserve">To estimate the total </w:t>
      </w:r>
      <w:r w:rsidR="00370DBC">
        <w:rPr>
          <w:bCs/>
        </w:rPr>
        <w:t>CDR</w:t>
      </w:r>
      <w:r w:rsidRPr="009362A8">
        <w:rPr>
          <w:bCs/>
        </w:rPr>
        <w:t xml:space="preserve"> due to biochar production and application, it was necessary to determine the </w:t>
      </w:r>
      <w:r w:rsidR="00370DBC">
        <w:rPr>
          <w:bCs/>
        </w:rPr>
        <w:t xml:space="preserve">amount of biochar yielding from the production of 1 MJ </w:t>
      </w:r>
      <w:r w:rsidR="006D4BEC">
        <w:rPr>
          <w:bCs/>
        </w:rPr>
        <w:t>of ATJ</w:t>
      </w:r>
      <w:r w:rsidRPr="009362A8">
        <w:rPr>
          <w:bCs/>
        </w:rPr>
        <w:t xml:space="preserve">. </w:t>
      </w:r>
      <w:r w:rsidR="001A7DE6">
        <w:rPr>
          <w:bCs/>
        </w:rPr>
        <w:t>Using ICAO (2022) data</w:t>
      </w:r>
      <w:r w:rsidR="00D93D34">
        <w:rPr>
          <w:bCs/>
        </w:rPr>
        <w:t xml:space="preserve"> is it assumed that ATJ yield (P</w:t>
      </w:r>
      <w:r w:rsidR="00D93D34">
        <w:rPr>
          <w:bCs/>
          <w:vertAlign w:val="subscript"/>
        </w:rPr>
        <w:t>ATJ</w:t>
      </w:r>
      <w:r w:rsidR="00D93D34">
        <w:rPr>
          <w:bCs/>
        </w:rPr>
        <w:t xml:space="preserve">) is </w:t>
      </w:r>
      <w:r w:rsidR="00A667C9">
        <w:rPr>
          <w:bCs/>
        </w:rPr>
        <w:t>1313</w:t>
      </w:r>
      <w:r w:rsidR="004801A0">
        <w:rPr>
          <w:bCs/>
        </w:rPr>
        <w:t xml:space="preserve"> MJ per tonne of sugarcane. When combining this with</w:t>
      </w:r>
      <w:r w:rsidR="00D93D34">
        <w:rPr>
          <w:bCs/>
        </w:rPr>
        <w:t xml:space="preserve"> </w:t>
      </w:r>
      <w:r w:rsidRPr="009362A8">
        <w:rPr>
          <w:bCs/>
        </w:rPr>
        <w:t>data from Conab</w:t>
      </w:r>
      <w:r w:rsidR="004801A0">
        <w:rPr>
          <w:bCs/>
        </w:rPr>
        <w:t xml:space="preserve"> </w:t>
      </w:r>
      <w:r w:rsidR="00EB53F7">
        <w:rPr>
          <w:bCs/>
        </w:rPr>
        <w:t>for sugarcane productivity (P</w:t>
      </w:r>
      <w:r w:rsidR="00EB53F7">
        <w:rPr>
          <w:bCs/>
          <w:vertAlign w:val="subscript"/>
        </w:rPr>
        <w:t>sc</w:t>
      </w:r>
      <w:r w:rsidR="00EB53F7">
        <w:rPr>
          <w:bCs/>
        </w:rPr>
        <w:t xml:space="preserve">) </w:t>
      </w:r>
      <w:r w:rsidR="004801A0">
        <w:rPr>
          <w:bCs/>
        </w:rPr>
        <w:t xml:space="preserve">it is possible to estimate </w:t>
      </w:r>
      <w:r w:rsidR="00844848">
        <w:rPr>
          <w:bCs/>
        </w:rPr>
        <w:t>ATJ production in MJ per ha. Thus</w:t>
      </w:r>
      <w:r w:rsidRPr="009362A8">
        <w:rPr>
          <w:bCs/>
        </w:rPr>
        <w:t>,</w:t>
      </w:r>
      <w:r w:rsidR="00844848">
        <w:rPr>
          <w:bCs/>
        </w:rPr>
        <w:t xml:space="preserve"> </w:t>
      </w:r>
      <w:r w:rsidR="00F82D97">
        <w:rPr>
          <w:bCs/>
        </w:rPr>
        <w:t>dividing bagasse yields</w:t>
      </w:r>
      <w:r w:rsidR="004F39CD">
        <w:rPr>
          <w:bCs/>
        </w:rPr>
        <w:t xml:space="preserve"> (P</w:t>
      </w:r>
      <w:r w:rsidR="004F39CD">
        <w:rPr>
          <w:bCs/>
          <w:vertAlign w:val="subscript"/>
        </w:rPr>
        <w:t>bg</w:t>
      </w:r>
      <w:r w:rsidR="004F39CD">
        <w:rPr>
          <w:bCs/>
        </w:rPr>
        <w:t>)</w:t>
      </w:r>
      <w:r w:rsidR="00F82D97">
        <w:rPr>
          <w:bCs/>
        </w:rPr>
        <w:t xml:space="preserve"> by this value, </w:t>
      </w:r>
      <w:r w:rsidR="00B43C98">
        <w:rPr>
          <w:bCs/>
        </w:rPr>
        <w:t xml:space="preserve">it leads to </w:t>
      </w:r>
      <w:r w:rsidR="00D56D38">
        <w:rPr>
          <w:bCs/>
        </w:rPr>
        <w:t>bagasse production in function of MJ of ATJ. With the conversion of</w:t>
      </w:r>
      <w:r w:rsidR="007A5FF0">
        <w:rPr>
          <w:bCs/>
        </w:rPr>
        <w:t xml:space="preserve"> 0.313 tonnes of biochar (t</w:t>
      </w:r>
      <w:r w:rsidR="007A5FF0">
        <w:rPr>
          <w:bCs/>
          <w:vertAlign w:val="subscript"/>
        </w:rPr>
        <w:t>bc</w:t>
      </w:r>
      <w:r w:rsidR="007A5FF0">
        <w:rPr>
          <w:bCs/>
        </w:rPr>
        <w:t>) for every tonne of bagasse (t</w:t>
      </w:r>
      <w:r w:rsidR="007A5FF0">
        <w:rPr>
          <w:bCs/>
          <w:vertAlign w:val="subscript"/>
        </w:rPr>
        <w:t>bg</w:t>
      </w:r>
      <w:r w:rsidR="007A5FF0">
        <w:rPr>
          <w:bCs/>
        </w:rPr>
        <w:t xml:space="preserve">) </w:t>
      </w:r>
      <w:r w:rsidR="00FC5900">
        <w:rPr>
          <w:bCs/>
        </w:rPr>
        <w:t>and carbon sequestration of 2.3 tCO</w:t>
      </w:r>
      <w:r w:rsidR="00FC5900">
        <w:rPr>
          <w:bCs/>
          <w:vertAlign w:val="subscript"/>
        </w:rPr>
        <w:t>2</w:t>
      </w:r>
      <w:r w:rsidR="00FC5900">
        <w:rPr>
          <w:bCs/>
        </w:rPr>
        <w:t>/t</w:t>
      </w:r>
      <w:r w:rsidR="00FC5900">
        <w:rPr>
          <w:bCs/>
          <w:vertAlign w:val="subscript"/>
        </w:rPr>
        <w:t>bc</w:t>
      </w:r>
      <w:r w:rsidR="00FC5900">
        <w:rPr>
          <w:bCs/>
        </w:rPr>
        <w:t xml:space="preserve"> </w:t>
      </w:r>
      <w:r w:rsidR="00E17939">
        <w:rPr>
          <w:bCs/>
        </w:rPr>
        <w:t>the resulting number represents CDR in gCO</w:t>
      </w:r>
      <w:r w:rsidR="00E17939">
        <w:rPr>
          <w:bCs/>
          <w:vertAlign w:val="subscript"/>
        </w:rPr>
        <w:t>2</w:t>
      </w:r>
      <w:r w:rsidR="00E17939">
        <w:rPr>
          <w:bCs/>
        </w:rPr>
        <w:t>/MJ of ATJ (Equation 1).</w:t>
      </w:r>
    </w:p>
    <w:p w14:paraId="26DF8DA6" w14:textId="77777777" w:rsidR="008640B4" w:rsidRPr="009362A8" w:rsidRDefault="008640B4" w:rsidP="009362A8">
      <w:pPr>
        <w:pStyle w:val="Corpodetexto"/>
        <w:ind w:firstLine="720"/>
        <w:jc w:val="both"/>
        <w:rPr>
          <w:bCs/>
        </w:rPr>
      </w:pPr>
    </w:p>
    <w:p w14:paraId="54496DB7" w14:textId="67E2ED81" w:rsidR="008640B4" w:rsidRPr="00FD5414" w:rsidRDefault="008640B4" w:rsidP="00FD5414">
      <w:pPr>
        <w:pStyle w:val="Corpodetexto"/>
        <w:ind w:firstLine="720"/>
        <w:jc w:val="right"/>
        <w:rPr>
          <w:b/>
          <w:sz w:val="23"/>
        </w:rPr>
      </w:pPr>
      <m:oMath>
        <m:r>
          <m:rPr>
            <m:sty m:val="bi"/>
          </m:rPr>
          <w:rPr>
            <w:rFonts w:ascii="Cambria Math" w:hAnsi="Cambria Math"/>
            <w:sz w:val="23"/>
          </w:rPr>
          <m:t>CDR</m:t>
        </m:r>
        <m:d>
          <m:dPr>
            <m:ctrlPr>
              <w:rPr>
                <w:rFonts w:ascii="Cambria Math" w:hAnsi="Cambria Math"/>
                <w:b/>
                <w:i/>
                <w:sz w:val="23"/>
              </w:rPr>
            </m:ctrlPr>
          </m:dPr>
          <m:e>
            <m:r>
              <m:rPr>
                <m:sty m:val="bi"/>
              </m:rPr>
              <w:rPr>
                <w:rFonts w:ascii="Cambria Math" w:hAnsi="Cambria Math"/>
                <w:sz w:val="23"/>
              </w:rPr>
              <m:t>gC</m:t>
            </m:r>
            <m:sSub>
              <m:sSubPr>
                <m:ctrlPr>
                  <w:rPr>
                    <w:rFonts w:ascii="Cambria Math" w:hAnsi="Cambria Math"/>
                    <w:b/>
                    <w:i/>
                    <w:sz w:val="23"/>
                  </w:rPr>
                </m:ctrlPr>
              </m:sSubPr>
              <m:e>
                <m:r>
                  <m:rPr>
                    <m:sty m:val="bi"/>
                  </m:rPr>
                  <w:rPr>
                    <w:rFonts w:ascii="Cambria Math" w:hAnsi="Cambria Math"/>
                    <w:sz w:val="23"/>
                  </w:rPr>
                  <m:t>O</m:t>
                </m:r>
              </m:e>
              <m:sub>
                <m:r>
                  <m:rPr>
                    <m:sty m:val="bi"/>
                  </m:rPr>
                  <w:rPr>
                    <w:rFonts w:ascii="Cambria Math" w:hAnsi="Cambria Math"/>
                    <w:sz w:val="23"/>
                  </w:rPr>
                  <m:t>2</m:t>
                </m:r>
              </m:sub>
            </m:sSub>
            <m:r>
              <m:rPr>
                <m:lit/>
                <m:sty m:val="bi"/>
              </m:rPr>
              <w:rPr>
                <w:rFonts w:ascii="Cambria Math" w:hAnsi="Cambria Math"/>
                <w:sz w:val="23"/>
              </w:rPr>
              <m:t>/</m:t>
            </m:r>
            <m:r>
              <m:rPr>
                <m:sty m:val="bi"/>
              </m:rPr>
              <w:rPr>
                <w:rFonts w:ascii="Cambria Math" w:hAnsi="Cambria Math"/>
                <w:sz w:val="23"/>
              </w:rPr>
              <m:t>M</m:t>
            </m:r>
            <m:sSub>
              <m:sSubPr>
                <m:ctrlPr>
                  <w:rPr>
                    <w:rFonts w:ascii="Cambria Math" w:hAnsi="Cambria Math"/>
                    <w:b/>
                    <w:i/>
                    <w:sz w:val="23"/>
                  </w:rPr>
                </m:ctrlPr>
              </m:sSubPr>
              <m:e>
                <m:r>
                  <m:rPr>
                    <m:sty m:val="bi"/>
                  </m:rPr>
                  <w:rPr>
                    <w:rFonts w:ascii="Cambria Math" w:hAnsi="Cambria Math"/>
                    <w:sz w:val="23"/>
                  </w:rPr>
                  <m:t>J</m:t>
                </m:r>
              </m:e>
              <m:sub>
                <m:r>
                  <m:rPr>
                    <m:sty m:val="bi"/>
                  </m:rPr>
                  <w:rPr>
                    <w:rFonts w:ascii="Cambria Math" w:hAnsi="Cambria Math"/>
                    <w:sz w:val="23"/>
                  </w:rPr>
                  <m:t>ATJ</m:t>
                </m:r>
              </m:sub>
            </m:sSub>
          </m:e>
        </m:d>
        <m:r>
          <m:rPr>
            <m:sty m:val="bi"/>
          </m:rPr>
          <w:rPr>
            <w:rFonts w:ascii="Cambria Math" w:hAnsi="Cambria Math"/>
            <w:sz w:val="23"/>
          </w:rPr>
          <m:t xml:space="preserve"> =0,26 </m:t>
        </m:r>
        <m:d>
          <m:dPr>
            <m:ctrlPr>
              <w:rPr>
                <w:rFonts w:ascii="Cambria Math" w:hAnsi="Cambria Math"/>
                <w:b/>
                <w:i/>
                <w:sz w:val="23"/>
              </w:rPr>
            </m:ctrlPr>
          </m:dPr>
          <m:e>
            <m:f>
              <m:fPr>
                <m:ctrlPr>
                  <w:rPr>
                    <w:rFonts w:ascii="Cambria Math" w:hAnsi="Cambria Math"/>
                    <w:b/>
                    <w:i/>
                    <w:sz w:val="23"/>
                  </w:rPr>
                </m:ctrlPr>
              </m:fPr>
              <m:num>
                <m:sSub>
                  <m:sSubPr>
                    <m:ctrlPr>
                      <w:rPr>
                        <w:rFonts w:ascii="Cambria Math" w:hAnsi="Cambria Math"/>
                        <w:b/>
                        <w:i/>
                        <w:sz w:val="23"/>
                      </w:rPr>
                    </m:ctrlPr>
                  </m:sSubPr>
                  <m:e>
                    <m:r>
                      <m:rPr>
                        <m:sty m:val="bi"/>
                      </m:rPr>
                      <w:rPr>
                        <w:rFonts w:ascii="Cambria Math" w:hAnsi="Cambria Math"/>
                        <w:sz w:val="23"/>
                      </w:rPr>
                      <m:t>t</m:t>
                    </m:r>
                  </m:e>
                  <m:sub>
                    <m:r>
                      <m:rPr>
                        <m:sty m:val="bi"/>
                      </m:rPr>
                      <w:rPr>
                        <w:rFonts w:ascii="Cambria Math" w:hAnsi="Cambria Math"/>
                        <w:sz w:val="23"/>
                      </w:rPr>
                      <m:t>bc</m:t>
                    </m:r>
                  </m:sub>
                </m:sSub>
              </m:num>
              <m:den>
                <m:sSub>
                  <m:sSubPr>
                    <m:ctrlPr>
                      <w:rPr>
                        <w:rFonts w:ascii="Cambria Math" w:hAnsi="Cambria Math"/>
                        <w:b/>
                        <w:i/>
                        <w:sz w:val="23"/>
                      </w:rPr>
                    </m:ctrlPr>
                  </m:sSubPr>
                  <m:e>
                    <m:r>
                      <m:rPr>
                        <m:sty m:val="bi"/>
                      </m:rPr>
                      <w:rPr>
                        <w:rFonts w:ascii="Cambria Math" w:hAnsi="Cambria Math"/>
                        <w:sz w:val="23"/>
                      </w:rPr>
                      <m:t>t</m:t>
                    </m:r>
                  </m:e>
                  <m:sub>
                    <m:r>
                      <m:rPr>
                        <m:sty m:val="bi"/>
                      </m:rPr>
                      <w:rPr>
                        <w:rFonts w:ascii="Cambria Math" w:hAnsi="Cambria Math"/>
                        <w:sz w:val="23"/>
                      </w:rPr>
                      <m:t>bg</m:t>
                    </m:r>
                  </m:sub>
                </m:sSub>
              </m:den>
            </m:f>
          </m:e>
        </m:d>
        <m:r>
          <m:rPr>
            <m:sty m:val="bi"/>
          </m:rPr>
          <w:rPr>
            <w:rFonts w:ascii="Cambria Math" w:hAnsi="Cambria Math"/>
            <w:sz w:val="23"/>
          </w:rPr>
          <m:t>*2.3 *</m:t>
        </m:r>
        <m:sSup>
          <m:sSupPr>
            <m:ctrlPr>
              <w:rPr>
                <w:rFonts w:ascii="Cambria Math" w:hAnsi="Cambria Math"/>
                <w:b/>
                <w:i/>
                <w:sz w:val="23"/>
              </w:rPr>
            </m:ctrlPr>
          </m:sSupPr>
          <m:e>
            <m:r>
              <m:rPr>
                <m:sty m:val="bi"/>
              </m:rPr>
              <w:rPr>
                <w:rFonts w:ascii="Cambria Math" w:hAnsi="Cambria Math"/>
                <w:sz w:val="23"/>
              </w:rPr>
              <m:t>10</m:t>
            </m:r>
          </m:e>
          <m:sup>
            <m:r>
              <m:rPr>
                <m:sty m:val="bi"/>
              </m:rPr>
              <w:rPr>
                <w:rFonts w:ascii="Cambria Math" w:hAnsi="Cambria Math"/>
                <w:sz w:val="23"/>
              </w:rPr>
              <m:t>6</m:t>
            </m:r>
          </m:sup>
        </m:sSup>
        <m:d>
          <m:dPr>
            <m:ctrlPr>
              <w:rPr>
                <w:rFonts w:ascii="Cambria Math" w:hAnsi="Cambria Math"/>
                <w:b/>
                <w:i/>
                <w:sz w:val="23"/>
              </w:rPr>
            </m:ctrlPr>
          </m:dPr>
          <m:e>
            <m:f>
              <m:fPr>
                <m:ctrlPr>
                  <w:rPr>
                    <w:rFonts w:ascii="Cambria Math" w:hAnsi="Cambria Math"/>
                    <w:b/>
                    <w:i/>
                    <w:sz w:val="23"/>
                  </w:rPr>
                </m:ctrlPr>
              </m:fPr>
              <m:num>
                <m:sSub>
                  <m:sSubPr>
                    <m:ctrlPr>
                      <w:rPr>
                        <w:rFonts w:ascii="Cambria Math" w:hAnsi="Cambria Math"/>
                        <w:b/>
                        <w:i/>
                        <w:sz w:val="23"/>
                      </w:rPr>
                    </m:ctrlPr>
                  </m:sSubPr>
                  <m:e>
                    <m:r>
                      <m:rPr>
                        <m:sty m:val="bi"/>
                      </m:rPr>
                      <w:rPr>
                        <w:rFonts w:ascii="Cambria Math" w:hAnsi="Cambria Math"/>
                        <w:sz w:val="23"/>
                      </w:rPr>
                      <m:t>gCO</m:t>
                    </m:r>
                  </m:e>
                  <m:sub>
                    <m:r>
                      <m:rPr>
                        <m:sty m:val="bi"/>
                      </m:rPr>
                      <w:rPr>
                        <w:rFonts w:ascii="Cambria Math" w:hAnsi="Cambria Math"/>
                        <w:sz w:val="23"/>
                      </w:rPr>
                      <m:t>2</m:t>
                    </m:r>
                  </m:sub>
                </m:sSub>
              </m:num>
              <m:den>
                <m:sSub>
                  <m:sSubPr>
                    <m:ctrlPr>
                      <w:rPr>
                        <w:rFonts w:ascii="Cambria Math" w:hAnsi="Cambria Math"/>
                        <w:b/>
                        <w:i/>
                        <w:sz w:val="23"/>
                      </w:rPr>
                    </m:ctrlPr>
                  </m:sSubPr>
                  <m:e>
                    <m:r>
                      <m:rPr>
                        <m:sty m:val="bi"/>
                      </m:rPr>
                      <w:rPr>
                        <w:rFonts w:ascii="Cambria Math" w:hAnsi="Cambria Math"/>
                        <w:sz w:val="23"/>
                      </w:rPr>
                      <m:t>t</m:t>
                    </m:r>
                  </m:e>
                  <m:sub>
                    <m:r>
                      <m:rPr>
                        <m:sty m:val="bi"/>
                      </m:rPr>
                      <w:rPr>
                        <w:rFonts w:ascii="Cambria Math" w:hAnsi="Cambria Math"/>
                        <w:sz w:val="23"/>
                      </w:rPr>
                      <m:t>bc</m:t>
                    </m:r>
                  </m:sub>
                </m:sSub>
              </m:den>
            </m:f>
          </m:e>
        </m:d>
        <m:r>
          <m:rPr>
            <m:sty m:val="bi"/>
          </m:rPr>
          <w:rPr>
            <w:rFonts w:ascii="Cambria Math" w:hAnsi="Cambria Math"/>
            <w:sz w:val="23"/>
          </w:rPr>
          <m:t>*</m:t>
        </m:r>
        <m:f>
          <m:fPr>
            <m:ctrlPr>
              <w:rPr>
                <w:rFonts w:ascii="Cambria Math" w:hAnsi="Cambria Math"/>
                <w:b/>
                <w:i/>
                <w:sz w:val="23"/>
              </w:rPr>
            </m:ctrlPr>
          </m:fPr>
          <m:num>
            <m:sSub>
              <m:sSubPr>
                <m:ctrlPr>
                  <w:rPr>
                    <w:rFonts w:ascii="Cambria Math" w:hAnsi="Cambria Math"/>
                    <w:b/>
                    <w:i/>
                    <w:sz w:val="23"/>
                  </w:rPr>
                </m:ctrlPr>
              </m:sSubPr>
              <m:e>
                <m:r>
                  <m:rPr>
                    <m:sty m:val="bi"/>
                  </m:rPr>
                  <w:rPr>
                    <w:rFonts w:ascii="Cambria Math" w:hAnsi="Cambria Math"/>
                    <w:sz w:val="23"/>
                  </w:rPr>
                  <m:t>P</m:t>
                </m:r>
              </m:e>
              <m:sub>
                <m:r>
                  <m:rPr>
                    <m:sty m:val="bi"/>
                  </m:rPr>
                  <w:rPr>
                    <w:rFonts w:ascii="Cambria Math" w:hAnsi="Cambria Math"/>
                    <w:sz w:val="23"/>
                  </w:rPr>
                  <m:t>bg</m:t>
                </m:r>
              </m:sub>
            </m:sSub>
            <m:r>
              <m:rPr>
                <m:sty m:val="bi"/>
              </m:rPr>
              <w:rPr>
                <w:rFonts w:ascii="Cambria Math" w:hAnsi="Cambria Math"/>
                <w:sz w:val="23"/>
              </w:rPr>
              <m:t xml:space="preserve"> </m:t>
            </m:r>
            <m:d>
              <m:dPr>
                <m:ctrlPr>
                  <w:rPr>
                    <w:rFonts w:ascii="Cambria Math" w:hAnsi="Cambria Math"/>
                    <w:b/>
                    <w:i/>
                    <w:sz w:val="23"/>
                  </w:rPr>
                </m:ctrlPr>
              </m:dPr>
              <m:e>
                <m:f>
                  <m:fPr>
                    <m:ctrlPr>
                      <w:rPr>
                        <w:rFonts w:ascii="Cambria Math" w:hAnsi="Cambria Math"/>
                        <w:b/>
                        <w:i/>
                        <w:sz w:val="23"/>
                      </w:rPr>
                    </m:ctrlPr>
                  </m:fPr>
                  <m:num>
                    <m:sSub>
                      <m:sSubPr>
                        <m:ctrlPr>
                          <w:rPr>
                            <w:rFonts w:ascii="Cambria Math" w:hAnsi="Cambria Math"/>
                            <w:b/>
                            <w:i/>
                            <w:sz w:val="23"/>
                          </w:rPr>
                        </m:ctrlPr>
                      </m:sSubPr>
                      <m:e>
                        <m:r>
                          <m:rPr>
                            <m:sty m:val="bi"/>
                          </m:rPr>
                          <w:rPr>
                            <w:rFonts w:ascii="Cambria Math" w:hAnsi="Cambria Math"/>
                            <w:sz w:val="23"/>
                          </w:rPr>
                          <m:t>t</m:t>
                        </m:r>
                      </m:e>
                      <m:sub>
                        <m:r>
                          <m:rPr>
                            <m:sty m:val="bi"/>
                          </m:rPr>
                          <w:rPr>
                            <w:rFonts w:ascii="Cambria Math" w:hAnsi="Cambria Math"/>
                            <w:sz w:val="23"/>
                          </w:rPr>
                          <m:t>bg</m:t>
                        </m:r>
                      </m:sub>
                    </m:sSub>
                  </m:num>
                  <m:den>
                    <m:r>
                      <m:rPr>
                        <m:sty m:val="bi"/>
                      </m:rPr>
                      <w:rPr>
                        <w:rFonts w:ascii="Cambria Math" w:hAnsi="Cambria Math"/>
                        <w:sz w:val="23"/>
                      </w:rPr>
                      <m:t>ha</m:t>
                    </m:r>
                  </m:den>
                </m:f>
              </m:e>
            </m:d>
          </m:num>
          <m:den>
            <m:sSub>
              <m:sSubPr>
                <m:ctrlPr>
                  <w:rPr>
                    <w:rFonts w:ascii="Cambria Math" w:hAnsi="Cambria Math"/>
                    <w:b/>
                    <w:i/>
                    <w:sz w:val="23"/>
                  </w:rPr>
                </m:ctrlPr>
              </m:sSubPr>
              <m:e>
                <m:r>
                  <m:rPr>
                    <m:sty m:val="bi"/>
                  </m:rPr>
                  <w:rPr>
                    <w:rFonts w:ascii="Cambria Math" w:hAnsi="Cambria Math"/>
                    <w:sz w:val="23"/>
                  </w:rPr>
                  <m:t>P</m:t>
                </m:r>
              </m:e>
              <m:sub>
                <m:r>
                  <m:rPr>
                    <m:sty m:val="bi"/>
                  </m:rPr>
                  <w:rPr>
                    <w:rFonts w:ascii="Cambria Math" w:hAnsi="Cambria Math"/>
                    <w:sz w:val="23"/>
                  </w:rPr>
                  <m:t>sc</m:t>
                </m:r>
              </m:sub>
            </m:sSub>
            <m:d>
              <m:dPr>
                <m:ctrlPr>
                  <w:rPr>
                    <w:rFonts w:ascii="Cambria Math" w:hAnsi="Cambria Math"/>
                    <w:b/>
                    <w:i/>
                    <w:sz w:val="23"/>
                  </w:rPr>
                </m:ctrlPr>
              </m:dPr>
              <m:e>
                <m:f>
                  <m:fPr>
                    <m:ctrlPr>
                      <w:rPr>
                        <w:rFonts w:ascii="Cambria Math" w:hAnsi="Cambria Math"/>
                        <w:b/>
                        <w:i/>
                        <w:sz w:val="23"/>
                      </w:rPr>
                    </m:ctrlPr>
                  </m:fPr>
                  <m:num>
                    <m:sSub>
                      <m:sSubPr>
                        <m:ctrlPr>
                          <w:rPr>
                            <w:rFonts w:ascii="Cambria Math" w:hAnsi="Cambria Math"/>
                            <w:b/>
                            <w:i/>
                            <w:sz w:val="23"/>
                          </w:rPr>
                        </m:ctrlPr>
                      </m:sSubPr>
                      <m:e>
                        <m:r>
                          <m:rPr>
                            <m:sty m:val="bi"/>
                          </m:rPr>
                          <w:rPr>
                            <w:rFonts w:ascii="Cambria Math" w:hAnsi="Cambria Math"/>
                            <w:sz w:val="23"/>
                          </w:rPr>
                          <m:t>t</m:t>
                        </m:r>
                      </m:e>
                      <m:sub>
                        <m:r>
                          <m:rPr>
                            <m:sty m:val="bi"/>
                          </m:rPr>
                          <w:rPr>
                            <w:rFonts w:ascii="Cambria Math" w:hAnsi="Cambria Math"/>
                            <w:sz w:val="23"/>
                          </w:rPr>
                          <m:t>sc</m:t>
                        </m:r>
                      </m:sub>
                    </m:sSub>
                  </m:num>
                  <m:den>
                    <m:r>
                      <m:rPr>
                        <m:sty m:val="bi"/>
                      </m:rPr>
                      <w:rPr>
                        <w:rFonts w:ascii="Cambria Math" w:hAnsi="Cambria Math"/>
                        <w:sz w:val="23"/>
                      </w:rPr>
                      <m:t>ha</m:t>
                    </m:r>
                  </m:den>
                </m:f>
              </m:e>
            </m:d>
            <m:r>
              <m:rPr>
                <m:sty m:val="bi"/>
              </m:rPr>
              <w:rPr>
                <w:rFonts w:ascii="Cambria Math" w:hAnsi="Cambria Math"/>
                <w:sz w:val="23"/>
              </w:rPr>
              <m:t xml:space="preserve"> * </m:t>
            </m:r>
            <m:sSub>
              <m:sSubPr>
                <m:ctrlPr>
                  <w:rPr>
                    <w:rFonts w:ascii="Cambria Math" w:hAnsi="Cambria Math"/>
                    <w:b/>
                    <w:i/>
                    <w:sz w:val="23"/>
                  </w:rPr>
                </m:ctrlPr>
              </m:sSubPr>
              <m:e>
                <m:r>
                  <m:rPr>
                    <m:sty m:val="bi"/>
                  </m:rPr>
                  <w:rPr>
                    <w:rFonts w:ascii="Cambria Math" w:hAnsi="Cambria Math"/>
                    <w:sz w:val="23"/>
                  </w:rPr>
                  <m:t>P</m:t>
                </m:r>
              </m:e>
              <m:sub>
                <m:r>
                  <m:rPr>
                    <m:sty m:val="bi"/>
                  </m:rPr>
                  <w:rPr>
                    <w:rFonts w:ascii="Cambria Math" w:hAnsi="Cambria Math"/>
                    <w:sz w:val="23"/>
                  </w:rPr>
                  <m:t>ATJ</m:t>
                </m:r>
              </m:sub>
            </m:sSub>
            <m:d>
              <m:dPr>
                <m:ctrlPr>
                  <w:rPr>
                    <w:rFonts w:ascii="Cambria Math" w:hAnsi="Cambria Math"/>
                    <w:b/>
                    <w:i/>
                    <w:sz w:val="23"/>
                  </w:rPr>
                </m:ctrlPr>
              </m:dPr>
              <m:e>
                <m:f>
                  <m:fPr>
                    <m:ctrlPr>
                      <w:rPr>
                        <w:rFonts w:ascii="Cambria Math" w:hAnsi="Cambria Math"/>
                        <w:b/>
                        <w:i/>
                        <w:sz w:val="23"/>
                      </w:rPr>
                    </m:ctrlPr>
                  </m:fPr>
                  <m:num>
                    <m:sSub>
                      <m:sSubPr>
                        <m:ctrlPr>
                          <w:rPr>
                            <w:rFonts w:ascii="Cambria Math" w:hAnsi="Cambria Math"/>
                            <w:b/>
                            <w:i/>
                            <w:sz w:val="23"/>
                          </w:rPr>
                        </m:ctrlPr>
                      </m:sSubPr>
                      <m:e>
                        <m:r>
                          <m:rPr>
                            <m:sty m:val="bi"/>
                          </m:rPr>
                          <w:rPr>
                            <w:rFonts w:ascii="Cambria Math" w:hAnsi="Cambria Math"/>
                            <w:sz w:val="23"/>
                          </w:rPr>
                          <m:t>MJ</m:t>
                        </m:r>
                      </m:e>
                      <m:sub>
                        <m:r>
                          <m:rPr>
                            <m:sty m:val="bi"/>
                          </m:rPr>
                          <w:rPr>
                            <w:rFonts w:ascii="Cambria Math" w:hAnsi="Cambria Math"/>
                            <w:sz w:val="23"/>
                          </w:rPr>
                          <m:t>ATJ</m:t>
                        </m:r>
                      </m:sub>
                    </m:sSub>
                  </m:num>
                  <m:den>
                    <m:sSub>
                      <m:sSubPr>
                        <m:ctrlPr>
                          <w:rPr>
                            <w:rFonts w:ascii="Cambria Math" w:hAnsi="Cambria Math"/>
                            <w:b/>
                            <w:i/>
                            <w:sz w:val="23"/>
                          </w:rPr>
                        </m:ctrlPr>
                      </m:sSubPr>
                      <m:e>
                        <m:r>
                          <m:rPr>
                            <m:sty m:val="bi"/>
                          </m:rPr>
                          <w:rPr>
                            <w:rFonts w:ascii="Cambria Math" w:hAnsi="Cambria Math"/>
                            <w:sz w:val="23"/>
                          </w:rPr>
                          <m:t>t</m:t>
                        </m:r>
                      </m:e>
                      <m:sub>
                        <m:r>
                          <m:rPr>
                            <m:sty m:val="bi"/>
                          </m:rPr>
                          <w:rPr>
                            <w:rFonts w:ascii="Cambria Math" w:hAnsi="Cambria Math"/>
                            <w:sz w:val="23"/>
                          </w:rPr>
                          <m:t>sc</m:t>
                        </m:r>
                      </m:sub>
                    </m:sSub>
                  </m:den>
                </m:f>
              </m:e>
            </m:d>
          </m:den>
        </m:f>
      </m:oMath>
      <w:r w:rsidR="00E17939">
        <w:rPr>
          <w:b/>
          <w:sz w:val="23"/>
        </w:rPr>
        <w:t xml:space="preserve">                             (1)</w:t>
      </w:r>
    </w:p>
    <w:p w14:paraId="02662159" w14:textId="701ED49F" w:rsidR="00A12D3C" w:rsidRPr="00FD5414" w:rsidRDefault="00D31D5A">
      <w:pPr>
        <w:pStyle w:val="Corpodetexto"/>
        <w:rPr>
          <w:bCs/>
          <w:sz w:val="23"/>
        </w:rPr>
      </w:pPr>
      <w:r>
        <w:rPr>
          <w:rFonts w:ascii="Arial"/>
          <w:b/>
          <w:sz w:val="23"/>
        </w:rPr>
        <w:tab/>
      </w:r>
    </w:p>
    <w:p w14:paraId="7BC32C67" w14:textId="080E8669" w:rsidR="005E236B" w:rsidRDefault="00CC6C4D" w:rsidP="00FD5414">
      <w:pPr>
        <w:pStyle w:val="Corpodetexto"/>
        <w:ind w:firstLine="720"/>
        <w:jc w:val="both"/>
        <w:rPr>
          <w:bCs/>
        </w:rPr>
      </w:pPr>
      <w:r>
        <w:rPr>
          <w:bCs/>
        </w:rPr>
        <w:t xml:space="preserve">Finally, </w:t>
      </w:r>
      <w:r w:rsidR="000C7632">
        <w:rPr>
          <w:bCs/>
        </w:rPr>
        <w:t xml:space="preserve">the total </w:t>
      </w:r>
      <w:r w:rsidR="003D1C06">
        <w:rPr>
          <w:bCs/>
        </w:rPr>
        <w:t xml:space="preserve">liquid </w:t>
      </w:r>
      <w:r w:rsidR="000C7632">
        <w:rPr>
          <w:bCs/>
        </w:rPr>
        <w:t xml:space="preserve">emissions resulting from </w:t>
      </w:r>
      <w:r w:rsidR="003A3DF4">
        <w:rPr>
          <w:bCs/>
        </w:rPr>
        <w:t xml:space="preserve">the mitigation derived of using sugarcane ATJ </w:t>
      </w:r>
      <w:r w:rsidR="000C7632">
        <w:rPr>
          <w:bCs/>
        </w:rPr>
        <w:t xml:space="preserve">and the offset from </w:t>
      </w:r>
      <w:r w:rsidR="0042624D">
        <w:rPr>
          <w:bCs/>
        </w:rPr>
        <w:t xml:space="preserve">CDR using biochar produced in the integrated system designed are </w:t>
      </w:r>
      <w:r>
        <w:rPr>
          <w:bCs/>
        </w:rPr>
        <w:t xml:space="preserve">then compared to the carbon intensity (CI) of fossil jet fuel, </w:t>
      </w:r>
      <w:r w:rsidR="00180173">
        <w:rPr>
          <w:bCs/>
        </w:rPr>
        <w:t xml:space="preserve">of </w:t>
      </w:r>
      <w:r w:rsidR="007D3E9D">
        <w:rPr>
          <w:bCs/>
        </w:rPr>
        <w:t>89 gCO</w:t>
      </w:r>
      <w:r w:rsidR="007D3E9D">
        <w:rPr>
          <w:bCs/>
          <w:vertAlign w:val="subscript"/>
        </w:rPr>
        <w:t>2e</w:t>
      </w:r>
      <w:r w:rsidR="007D3E9D">
        <w:rPr>
          <w:bCs/>
        </w:rPr>
        <w:t>/MJ</w:t>
      </w:r>
      <w:r w:rsidR="00180173">
        <w:rPr>
          <w:bCs/>
        </w:rPr>
        <w:t xml:space="preserve"> </w:t>
      </w:r>
      <w:r w:rsidR="007D3E9D">
        <w:rPr>
          <w:bCs/>
        </w:rPr>
        <w:t xml:space="preserve">according to </w:t>
      </w:r>
      <w:r>
        <w:rPr>
          <w:bCs/>
        </w:rPr>
        <w:t>ICAO (2022)</w:t>
      </w:r>
      <w:r w:rsidR="003A3DF4">
        <w:rPr>
          <w:bCs/>
        </w:rPr>
        <w:t>. Th</w:t>
      </w:r>
      <w:r w:rsidR="001215FC">
        <w:rPr>
          <w:bCs/>
        </w:rPr>
        <w:t xml:space="preserve">e purpose is </w:t>
      </w:r>
      <w:r>
        <w:rPr>
          <w:bCs/>
        </w:rPr>
        <w:t xml:space="preserve">to evaluate </w:t>
      </w:r>
      <w:r w:rsidR="00C072AB">
        <w:rPr>
          <w:bCs/>
        </w:rPr>
        <w:t xml:space="preserve">how </w:t>
      </w:r>
      <w:r w:rsidR="001215FC">
        <w:rPr>
          <w:bCs/>
        </w:rPr>
        <w:t xml:space="preserve">integrating the bioSAF production </w:t>
      </w:r>
      <w:r w:rsidR="00C60848">
        <w:rPr>
          <w:bCs/>
        </w:rPr>
        <w:t>with</w:t>
      </w:r>
      <w:r w:rsidR="001215FC">
        <w:rPr>
          <w:bCs/>
        </w:rPr>
        <w:t xml:space="preserve"> </w:t>
      </w:r>
      <w:r w:rsidR="00C60848">
        <w:rPr>
          <w:bCs/>
        </w:rPr>
        <w:t xml:space="preserve">biochar </w:t>
      </w:r>
      <w:r w:rsidR="00C072AB">
        <w:rPr>
          <w:bCs/>
        </w:rPr>
        <w:t xml:space="preserve">production and use as CDR can </w:t>
      </w:r>
      <w:r w:rsidR="00A80E60">
        <w:rPr>
          <w:bCs/>
        </w:rPr>
        <w:t xml:space="preserve">provide advantages </w:t>
      </w:r>
      <w:r w:rsidR="00B531CD">
        <w:rPr>
          <w:bCs/>
        </w:rPr>
        <w:t>for reducing emissions from using fossil jet fuel.</w:t>
      </w:r>
    </w:p>
    <w:p w14:paraId="3636AFFF" w14:textId="77777777" w:rsidR="000B6476" w:rsidRDefault="000B6476" w:rsidP="00FD5414">
      <w:pPr>
        <w:pStyle w:val="Corpodetexto"/>
        <w:jc w:val="both"/>
        <w:rPr>
          <w:rFonts w:ascii="Arial"/>
          <w:b/>
          <w:sz w:val="23"/>
        </w:rPr>
      </w:pPr>
    </w:p>
    <w:p w14:paraId="0629F972" w14:textId="025B3412" w:rsidR="00ED5E2E" w:rsidRDefault="00D04C04">
      <w:pPr>
        <w:pStyle w:val="Ttulo1"/>
      </w:pPr>
      <w:r>
        <w:t>Results</w:t>
      </w:r>
    </w:p>
    <w:p w14:paraId="535B5BD6" w14:textId="61E406E9" w:rsidR="00ED5E2E" w:rsidRDefault="00ED5E2E" w:rsidP="478BC24F">
      <w:pPr>
        <w:pStyle w:val="Corpodetexto"/>
        <w:jc w:val="both"/>
      </w:pPr>
    </w:p>
    <w:p w14:paraId="1A27E2F7" w14:textId="4CC5974D" w:rsidR="00B71E13" w:rsidRDefault="00945E4E" w:rsidP="478BC24F">
      <w:pPr>
        <w:pStyle w:val="Corpodetexto"/>
        <w:jc w:val="both"/>
      </w:pPr>
      <w:r>
        <w:rPr>
          <w:bCs/>
        </w:rPr>
        <w:tab/>
      </w:r>
      <w:r w:rsidR="00DD1B34" w:rsidRPr="478BC24F">
        <w:t xml:space="preserve">The </w:t>
      </w:r>
      <w:r w:rsidR="00CD428B" w:rsidRPr="478BC24F">
        <w:t xml:space="preserve">preliminary </w:t>
      </w:r>
      <w:r w:rsidR="00DD1B34" w:rsidRPr="478BC24F">
        <w:t>estimates suggest that utilizing sugarcane bagasse for biochar production, intended for soil amendment, could offer significant advantages in</w:t>
      </w:r>
      <w:r w:rsidR="00A667C9">
        <w:t xml:space="preserve"> terms of ofsetting</w:t>
      </w:r>
      <w:r w:rsidR="00DD1B34" w:rsidRPr="478BC24F">
        <w:t xml:space="preserve">. In </w:t>
      </w:r>
      <w:r w:rsidR="00B71E13">
        <w:t xml:space="preserve">an </w:t>
      </w:r>
      <w:r w:rsidR="00A667C9">
        <w:rPr>
          <w:bCs/>
        </w:rPr>
        <w:t>integrated production system</w:t>
      </w:r>
      <w:r w:rsidR="00A667C9" w:rsidRPr="478BC24F">
        <w:t xml:space="preserve"> </w:t>
      </w:r>
      <w:r w:rsidR="00B71E13">
        <w:t xml:space="preserve">for every MJ of </w:t>
      </w:r>
      <w:r w:rsidR="00DD1B34" w:rsidRPr="478BC24F">
        <w:t>aviation biofuel produc</w:t>
      </w:r>
      <w:r w:rsidR="00B71E13">
        <w:t xml:space="preserve">ed about </w:t>
      </w:r>
      <m:oMath>
        <m:r>
          <m:rPr>
            <m:sty m:val="p"/>
          </m:rPr>
          <w:rPr>
            <w:rFonts w:ascii="Cambria Math" w:hAnsi="Cambria Math"/>
          </w:rPr>
          <m:t>2.9*</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oMath>
      <w:r w:rsidR="00B71E13">
        <w:t xml:space="preserve"> tonnes of biochar can be obtained. Since every tonne of biochar can storage the equivalent to 2.3 </w:t>
      </w:r>
      <w:r w:rsidR="00B71E13">
        <w:rPr>
          <w:bCs/>
        </w:rPr>
        <w:t>tCO</w:t>
      </w:r>
      <w:r w:rsidR="00B71E13">
        <w:rPr>
          <w:bCs/>
          <w:vertAlign w:val="subscript"/>
        </w:rPr>
        <w:t>2</w:t>
      </w:r>
      <w:r w:rsidR="00B71E13">
        <w:rPr>
          <w:bCs/>
        </w:rPr>
        <w:t>, the amount of offsetting is 66.1</w:t>
      </w:r>
      <w:r w:rsidR="00B71E13" w:rsidRPr="00B71E13">
        <w:t xml:space="preserve"> </w:t>
      </w:r>
      <w:r w:rsidR="00B71E13">
        <w:t>gCO</w:t>
      </w:r>
      <w:r w:rsidR="00B71E13">
        <w:rPr>
          <w:vertAlign w:val="subscript"/>
        </w:rPr>
        <w:t>2eq</w:t>
      </w:r>
      <w:r w:rsidR="00B71E13">
        <w:t xml:space="preserve">/MJ. When considering that sugarcane ATJ life cycle </w:t>
      </w:r>
      <w:r w:rsidR="009F3BE6">
        <w:t>emissions are 24.1</w:t>
      </w:r>
      <w:r w:rsidR="009F3BE6" w:rsidRPr="009F3BE6">
        <w:t xml:space="preserve"> </w:t>
      </w:r>
      <w:r w:rsidR="009F3BE6">
        <w:t>gCO</w:t>
      </w:r>
      <w:r w:rsidR="009F3BE6">
        <w:rPr>
          <w:vertAlign w:val="subscript"/>
        </w:rPr>
        <w:t>2eq</w:t>
      </w:r>
      <w:r w:rsidR="009F3BE6">
        <w:t>/MJ (ICAO, 2022) the production of this bioSAF alone mitigates 74% of the emissions from using fossil jet fuel, which are 89 gCO</w:t>
      </w:r>
      <w:r w:rsidR="009F3BE6">
        <w:rPr>
          <w:vertAlign w:val="subscript"/>
        </w:rPr>
        <w:t>2eq</w:t>
      </w:r>
      <w:r w:rsidR="009F3BE6">
        <w:t>/MJ. The biochar produced in the system can offset 74% of the fossil emission also. Nevertheless, if mitigation and offset are applied the liquid reduction of emissions is – 42 gCO</w:t>
      </w:r>
      <w:r w:rsidR="009F3BE6">
        <w:rPr>
          <w:vertAlign w:val="subscript"/>
        </w:rPr>
        <w:t>2eq</w:t>
      </w:r>
      <w:r w:rsidR="009F3BE6">
        <w:t>/MJ, equivalent to 147% less than those from using fossil jet fuel with no offsetting.</w:t>
      </w:r>
    </w:p>
    <w:p w14:paraId="51DF2F17" w14:textId="3F41F2C7" w:rsidR="003F291B" w:rsidRPr="00945E4E" w:rsidRDefault="009F3BE6" w:rsidP="003F291B">
      <w:pPr>
        <w:pStyle w:val="Corpodetexto"/>
        <w:jc w:val="both"/>
      </w:pPr>
      <w:r>
        <w:tab/>
        <w:t xml:space="preserve">It is crucial to highlight a number of factors that can alter this result. For example, the emissions from collecting the bagasse </w:t>
      </w:r>
      <w:r w:rsidR="003F291B">
        <w:t xml:space="preserve">applying pyrolysis and storing biochar in the soil where not accounted. The emissions from sugarcane production can also vary according to different regions (ANP, 2023). The potential of biochar to storage carbon depends, among other factors, on soil, humidity, temperature, clay content and mineralization rate. It is also depends on the characteristics of the feedstock, the temperature and durations of pyrolysis reaction and the amount of biochar applied (Zimmerman et al, 2011). </w:t>
      </w:r>
    </w:p>
    <w:p w14:paraId="72DF01C6" w14:textId="77777777" w:rsidR="00ED5E2E" w:rsidRDefault="00ED5E2E" w:rsidP="478BC24F">
      <w:pPr>
        <w:pStyle w:val="Corpodetexto"/>
        <w:rPr>
          <w:rFonts w:ascii="Arial"/>
          <w:b/>
          <w:bCs/>
          <w:sz w:val="23"/>
          <w:szCs w:val="23"/>
        </w:rPr>
      </w:pPr>
    </w:p>
    <w:p w14:paraId="7053EB62" w14:textId="599671BA" w:rsidR="00ED5E2E" w:rsidRDefault="00D04C04">
      <w:pPr>
        <w:ind w:left="840"/>
        <w:rPr>
          <w:rFonts w:ascii="Arial"/>
          <w:b/>
          <w:sz w:val="24"/>
        </w:rPr>
      </w:pPr>
      <w:r>
        <w:rPr>
          <w:rFonts w:ascii="Arial"/>
          <w:b/>
          <w:sz w:val="24"/>
        </w:rPr>
        <w:t>Conclusions</w:t>
      </w:r>
    </w:p>
    <w:p w14:paraId="30EBFC8E" w14:textId="0C34D9D0" w:rsidR="00DD1B34" w:rsidRPr="00DD1B34" w:rsidRDefault="00DD1B34" w:rsidP="00FD5414">
      <w:pPr>
        <w:pStyle w:val="Corpodetexto"/>
        <w:jc w:val="both"/>
      </w:pPr>
      <w:bookmarkStart w:id="0" w:name="_Hlk162444265"/>
    </w:p>
    <w:bookmarkEnd w:id="0"/>
    <w:p w14:paraId="4E78398F" w14:textId="77777777" w:rsidR="001062E1" w:rsidRDefault="00DD1B34" w:rsidP="00DD1B34">
      <w:pPr>
        <w:pStyle w:val="Corpodetexto"/>
        <w:ind w:firstLine="720"/>
        <w:jc w:val="both"/>
        <w:rPr>
          <w:bCs/>
        </w:rPr>
      </w:pPr>
      <w:r w:rsidRPr="00DD1B34">
        <w:rPr>
          <w:bCs/>
        </w:rPr>
        <w:t>This study emphasizes the importance of biochar in CO</w:t>
      </w:r>
      <w:r w:rsidRPr="003F291B">
        <w:rPr>
          <w:bCs/>
          <w:vertAlign w:val="subscript"/>
        </w:rPr>
        <w:t>2</w:t>
      </w:r>
      <w:r w:rsidRPr="00DD1B34">
        <w:rPr>
          <w:bCs/>
        </w:rPr>
        <w:t xml:space="preserve"> sequestration, greenhouse gas emission reduction, and soil improvement. </w:t>
      </w:r>
      <w:r w:rsidR="003F291B">
        <w:rPr>
          <w:bCs/>
        </w:rPr>
        <w:t xml:space="preserve">It was observed that jointly producing ATJ and biochar from sugarcane is possible and could provide benefits in terms of both offsetting and mitigation of GHG emission. </w:t>
      </w:r>
      <w:r w:rsidRPr="00DD1B34">
        <w:rPr>
          <w:bCs/>
        </w:rPr>
        <w:t>However, it is essential to recognize associated uncertainties, such as variability in sugarcane ethanol carbon intensity and various factors affecting biochar capture potential</w:t>
      </w:r>
      <w:r w:rsidR="00820479">
        <w:rPr>
          <w:bCs/>
        </w:rPr>
        <w:t xml:space="preserve">, such as </w:t>
      </w:r>
      <w:r w:rsidR="0060274C">
        <w:rPr>
          <w:bCs/>
        </w:rPr>
        <w:t>feedstock, pyrolysis conditions, soil</w:t>
      </w:r>
      <w:r w:rsidR="00C95F61">
        <w:rPr>
          <w:bCs/>
        </w:rPr>
        <w:t xml:space="preserve"> humidity, clay content, among others (Zimmerman et al. 2011)</w:t>
      </w:r>
      <w:r w:rsidRPr="00DD1B34">
        <w:rPr>
          <w:bCs/>
        </w:rPr>
        <w:t>.</w:t>
      </w:r>
      <w:r w:rsidR="00C95F61">
        <w:rPr>
          <w:bCs/>
        </w:rPr>
        <w:t xml:space="preserve"> </w:t>
      </w:r>
    </w:p>
    <w:p w14:paraId="756B82FB" w14:textId="4F1EC7F0" w:rsidR="001062E1" w:rsidRPr="001062E1" w:rsidRDefault="001062E1" w:rsidP="001062E1">
      <w:pPr>
        <w:pStyle w:val="Corpodetexto"/>
        <w:ind w:firstLine="720"/>
        <w:jc w:val="both"/>
      </w:pPr>
      <w:r>
        <w:t>Furthermore, sugarcane bagasse is currently used in Brazil to generate the energy used in sugar and ethanol production. The exceeding energy is commonly converted into electricity and supplied to Brazilians grid (EPE, 2023). Sugarcane straw can also be used (Texeira, 2023) but some residual must stay in the fields to preserve the soil from erosion.</w:t>
      </w:r>
    </w:p>
    <w:p w14:paraId="09BF5BCC" w14:textId="0FC09518" w:rsidR="00ED5E2E" w:rsidRPr="00DD1B34" w:rsidRDefault="00C95F61" w:rsidP="00DD1B34">
      <w:pPr>
        <w:pStyle w:val="Corpodetexto"/>
        <w:ind w:firstLine="720"/>
        <w:jc w:val="both"/>
        <w:rPr>
          <w:bCs/>
        </w:rPr>
      </w:pPr>
      <w:r>
        <w:rPr>
          <w:bCs/>
        </w:rPr>
        <w:t xml:space="preserve">Thus, the result presented must be </w:t>
      </w:r>
      <w:r w:rsidR="003D3296">
        <w:rPr>
          <w:bCs/>
        </w:rPr>
        <w:t>interpreted with discretion.</w:t>
      </w:r>
      <w:r w:rsidR="00DD1B34" w:rsidRPr="00DD1B34">
        <w:rPr>
          <w:bCs/>
        </w:rPr>
        <w:t xml:space="preserve"> Future research can explore different biochar uses and enhance understanding of these factors, contributing to more effective strategies in climate change mitigation</w:t>
      </w:r>
      <w:r w:rsidR="001062E1">
        <w:rPr>
          <w:bCs/>
        </w:rPr>
        <w:t xml:space="preserve"> and </w:t>
      </w:r>
      <w:r w:rsidR="00D2461E">
        <w:rPr>
          <w:bCs/>
        </w:rPr>
        <w:t>offsetting</w:t>
      </w:r>
      <w:r w:rsidR="00DD1B34" w:rsidRPr="00DD1B34">
        <w:rPr>
          <w:bCs/>
        </w:rPr>
        <w:t>.</w:t>
      </w:r>
    </w:p>
    <w:p w14:paraId="59E703F0" w14:textId="21E80CFF" w:rsidR="00ED5E2E" w:rsidRDefault="001062E1">
      <w:pPr>
        <w:pStyle w:val="Corpodetexto"/>
        <w:rPr>
          <w:rFonts w:ascii="Arial"/>
          <w:b/>
        </w:rPr>
      </w:pPr>
      <w:r>
        <w:tab/>
      </w:r>
    </w:p>
    <w:p w14:paraId="0E8EEF39" w14:textId="77777777" w:rsidR="00ED5E2E" w:rsidRDefault="00ED5E2E">
      <w:pPr>
        <w:pStyle w:val="Corpodetexto"/>
        <w:rPr>
          <w:rFonts w:ascii="Arial"/>
          <w:b/>
        </w:rPr>
      </w:pPr>
    </w:p>
    <w:p w14:paraId="1C7C19CD" w14:textId="77777777" w:rsidR="00ED5E2E" w:rsidRDefault="00ED5E2E">
      <w:pPr>
        <w:pStyle w:val="Corpodetexto"/>
        <w:rPr>
          <w:rFonts w:ascii="Arial"/>
          <w:b/>
        </w:rPr>
      </w:pPr>
    </w:p>
    <w:p w14:paraId="5FF69ADF" w14:textId="77777777" w:rsidR="00ED5E2E" w:rsidRDefault="00ED5E2E">
      <w:pPr>
        <w:pStyle w:val="Corpodetexto"/>
        <w:rPr>
          <w:rFonts w:ascii="Arial"/>
          <w:b/>
        </w:rPr>
      </w:pPr>
    </w:p>
    <w:p w14:paraId="12A04F35" w14:textId="77777777" w:rsidR="00ED5E2E" w:rsidRDefault="00ED5E2E">
      <w:pPr>
        <w:pStyle w:val="Corpodetexto"/>
        <w:rPr>
          <w:rFonts w:ascii="Arial"/>
          <w:b/>
        </w:rPr>
      </w:pPr>
    </w:p>
    <w:p w14:paraId="2B0B50D6" w14:textId="77777777" w:rsidR="00ED5E2E" w:rsidRDefault="00ED5E2E">
      <w:pPr>
        <w:pStyle w:val="Corpodetexto"/>
        <w:rPr>
          <w:rFonts w:ascii="Arial"/>
          <w:b/>
        </w:rPr>
      </w:pPr>
    </w:p>
    <w:p w14:paraId="6C28FE80" w14:textId="77777777" w:rsidR="00ED5E2E" w:rsidRDefault="00ED5E2E">
      <w:pPr>
        <w:pStyle w:val="Corpodetexto"/>
        <w:spacing w:before="9"/>
        <w:rPr>
          <w:rFonts w:ascii="Arial"/>
          <w:b/>
          <w:sz w:val="17"/>
        </w:rPr>
      </w:pPr>
    </w:p>
    <w:p w14:paraId="10ECBF93" w14:textId="6B7F0121" w:rsidR="00ED5E2E" w:rsidRDefault="00ED5E2E">
      <w:pPr>
        <w:pStyle w:val="Corpodetexto"/>
        <w:ind w:left="2930" w:right="2910"/>
        <w:jc w:val="center"/>
      </w:pPr>
    </w:p>
    <w:sectPr w:rsidR="00ED5E2E">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E"/>
    <w:rsid w:val="0000218F"/>
    <w:rsid w:val="000105EA"/>
    <w:rsid w:val="0002005F"/>
    <w:rsid w:val="00027C98"/>
    <w:rsid w:val="00033007"/>
    <w:rsid w:val="000337D3"/>
    <w:rsid w:val="00045CD7"/>
    <w:rsid w:val="00055303"/>
    <w:rsid w:val="00071397"/>
    <w:rsid w:val="00086634"/>
    <w:rsid w:val="0009508C"/>
    <w:rsid w:val="000A3A91"/>
    <w:rsid w:val="000A59D2"/>
    <w:rsid w:val="000A7DBA"/>
    <w:rsid w:val="000B07DF"/>
    <w:rsid w:val="000B6476"/>
    <w:rsid w:val="000C7632"/>
    <w:rsid w:val="000D1A0A"/>
    <w:rsid w:val="000D2CC9"/>
    <w:rsid w:val="000E7FCA"/>
    <w:rsid w:val="000F4360"/>
    <w:rsid w:val="001062E1"/>
    <w:rsid w:val="001215FC"/>
    <w:rsid w:val="001267C1"/>
    <w:rsid w:val="001456C1"/>
    <w:rsid w:val="00180173"/>
    <w:rsid w:val="001802C8"/>
    <w:rsid w:val="00187392"/>
    <w:rsid w:val="001933B5"/>
    <w:rsid w:val="00194D5F"/>
    <w:rsid w:val="001A3020"/>
    <w:rsid w:val="001A7DE6"/>
    <w:rsid w:val="001B6361"/>
    <w:rsid w:val="001E45DA"/>
    <w:rsid w:val="001F7F28"/>
    <w:rsid w:val="00204628"/>
    <w:rsid w:val="00234569"/>
    <w:rsid w:val="00240F64"/>
    <w:rsid w:val="00246456"/>
    <w:rsid w:val="00251AFE"/>
    <w:rsid w:val="00256CF6"/>
    <w:rsid w:val="00272B19"/>
    <w:rsid w:val="002751AA"/>
    <w:rsid w:val="00294662"/>
    <w:rsid w:val="002A18DF"/>
    <w:rsid w:val="002A33F1"/>
    <w:rsid w:val="002F5B6E"/>
    <w:rsid w:val="0031321C"/>
    <w:rsid w:val="00334E74"/>
    <w:rsid w:val="00336C04"/>
    <w:rsid w:val="00347EB3"/>
    <w:rsid w:val="00356BB2"/>
    <w:rsid w:val="00370DBC"/>
    <w:rsid w:val="00384655"/>
    <w:rsid w:val="003A3DF4"/>
    <w:rsid w:val="003B5C64"/>
    <w:rsid w:val="003C5EFA"/>
    <w:rsid w:val="003D1C06"/>
    <w:rsid w:val="003D3296"/>
    <w:rsid w:val="003F291B"/>
    <w:rsid w:val="0041625E"/>
    <w:rsid w:val="00417A11"/>
    <w:rsid w:val="00423D57"/>
    <w:rsid w:val="0042624D"/>
    <w:rsid w:val="004318CA"/>
    <w:rsid w:val="0045307D"/>
    <w:rsid w:val="004615E1"/>
    <w:rsid w:val="004801A0"/>
    <w:rsid w:val="0049291A"/>
    <w:rsid w:val="00492C5C"/>
    <w:rsid w:val="004B0C3C"/>
    <w:rsid w:val="004B1BD4"/>
    <w:rsid w:val="004B5CB7"/>
    <w:rsid w:val="004E61DC"/>
    <w:rsid w:val="004F1B76"/>
    <w:rsid w:val="004F39CD"/>
    <w:rsid w:val="005017E5"/>
    <w:rsid w:val="00505C02"/>
    <w:rsid w:val="00521BC4"/>
    <w:rsid w:val="00544C0D"/>
    <w:rsid w:val="005502FC"/>
    <w:rsid w:val="00557A62"/>
    <w:rsid w:val="0056084B"/>
    <w:rsid w:val="00571C05"/>
    <w:rsid w:val="005A4941"/>
    <w:rsid w:val="005C0B07"/>
    <w:rsid w:val="005D48C6"/>
    <w:rsid w:val="005E236B"/>
    <w:rsid w:val="005E4C15"/>
    <w:rsid w:val="005F50A7"/>
    <w:rsid w:val="0060274C"/>
    <w:rsid w:val="00603317"/>
    <w:rsid w:val="0060433B"/>
    <w:rsid w:val="006067B0"/>
    <w:rsid w:val="006074B8"/>
    <w:rsid w:val="0064441C"/>
    <w:rsid w:val="00645687"/>
    <w:rsid w:val="006944C4"/>
    <w:rsid w:val="006B4724"/>
    <w:rsid w:val="006B6240"/>
    <w:rsid w:val="006C3C09"/>
    <w:rsid w:val="006D0497"/>
    <w:rsid w:val="006D4BEC"/>
    <w:rsid w:val="006E333D"/>
    <w:rsid w:val="006E435F"/>
    <w:rsid w:val="006E7AFE"/>
    <w:rsid w:val="007233CE"/>
    <w:rsid w:val="00723D14"/>
    <w:rsid w:val="0073579B"/>
    <w:rsid w:val="00772429"/>
    <w:rsid w:val="00794295"/>
    <w:rsid w:val="007A049E"/>
    <w:rsid w:val="007A3943"/>
    <w:rsid w:val="007A5FF0"/>
    <w:rsid w:val="007B4286"/>
    <w:rsid w:val="007C0B82"/>
    <w:rsid w:val="007C3A07"/>
    <w:rsid w:val="007D3E9D"/>
    <w:rsid w:val="007F7FD3"/>
    <w:rsid w:val="00807BA5"/>
    <w:rsid w:val="00811637"/>
    <w:rsid w:val="00820479"/>
    <w:rsid w:val="00844848"/>
    <w:rsid w:val="00862972"/>
    <w:rsid w:val="008640B4"/>
    <w:rsid w:val="00881904"/>
    <w:rsid w:val="008A0766"/>
    <w:rsid w:val="008A34B3"/>
    <w:rsid w:val="008B28E7"/>
    <w:rsid w:val="008D2A2B"/>
    <w:rsid w:val="00931774"/>
    <w:rsid w:val="0093247F"/>
    <w:rsid w:val="009362A8"/>
    <w:rsid w:val="009363CB"/>
    <w:rsid w:val="00936C68"/>
    <w:rsid w:val="00945E4E"/>
    <w:rsid w:val="00950CBD"/>
    <w:rsid w:val="00956032"/>
    <w:rsid w:val="009737CF"/>
    <w:rsid w:val="00975A30"/>
    <w:rsid w:val="009843E1"/>
    <w:rsid w:val="009C7AF0"/>
    <w:rsid w:val="009E2ECA"/>
    <w:rsid w:val="009F244D"/>
    <w:rsid w:val="009F3BE6"/>
    <w:rsid w:val="00A12D3C"/>
    <w:rsid w:val="00A344E1"/>
    <w:rsid w:val="00A50D63"/>
    <w:rsid w:val="00A667C9"/>
    <w:rsid w:val="00A80E60"/>
    <w:rsid w:val="00A84F37"/>
    <w:rsid w:val="00AA7C0D"/>
    <w:rsid w:val="00AE37E9"/>
    <w:rsid w:val="00B024BF"/>
    <w:rsid w:val="00B21DAE"/>
    <w:rsid w:val="00B25338"/>
    <w:rsid w:val="00B26AC4"/>
    <w:rsid w:val="00B33DBA"/>
    <w:rsid w:val="00B35299"/>
    <w:rsid w:val="00B43C98"/>
    <w:rsid w:val="00B44328"/>
    <w:rsid w:val="00B531CD"/>
    <w:rsid w:val="00B71E13"/>
    <w:rsid w:val="00B9798E"/>
    <w:rsid w:val="00BA4CE1"/>
    <w:rsid w:val="00BC6613"/>
    <w:rsid w:val="00C072AB"/>
    <w:rsid w:val="00C112BD"/>
    <w:rsid w:val="00C17199"/>
    <w:rsid w:val="00C2219C"/>
    <w:rsid w:val="00C241E9"/>
    <w:rsid w:val="00C2794D"/>
    <w:rsid w:val="00C32AE0"/>
    <w:rsid w:val="00C60848"/>
    <w:rsid w:val="00C61B12"/>
    <w:rsid w:val="00C64AB4"/>
    <w:rsid w:val="00C77C3E"/>
    <w:rsid w:val="00C95F61"/>
    <w:rsid w:val="00CA5CF8"/>
    <w:rsid w:val="00CB4769"/>
    <w:rsid w:val="00CB68F5"/>
    <w:rsid w:val="00CC12EC"/>
    <w:rsid w:val="00CC6C4D"/>
    <w:rsid w:val="00CC6F09"/>
    <w:rsid w:val="00CD1631"/>
    <w:rsid w:val="00CD3F15"/>
    <w:rsid w:val="00CD428B"/>
    <w:rsid w:val="00CD5C7D"/>
    <w:rsid w:val="00CE1C7F"/>
    <w:rsid w:val="00CE39D8"/>
    <w:rsid w:val="00CF0872"/>
    <w:rsid w:val="00CF1AFC"/>
    <w:rsid w:val="00D012DA"/>
    <w:rsid w:val="00D04C04"/>
    <w:rsid w:val="00D2461E"/>
    <w:rsid w:val="00D31D5A"/>
    <w:rsid w:val="00D3279E"/>
    <w:rsid w:val="00D56D38"/>
    <w:rsid w:val="00D609F2"/>
    <w:rsid w:val="00D61871"/>
    <w:rsid w:val="00D61CDC"/>
    <w:rsid w:val="00D9346C"/>
    <w:rsid w:val="00D93D34"/>
    <w:rsid w:val="00D948D8"/>
    <w:rsid w:val="00DA267B"/>
    <w:rsid w:val="00DA28FE"/>
    <w:rsid w:val="00DA3FF6"/>
    <w:rsid w:val="00DB5545"/>
    <w:rsid w:val="00DD1B34"/>
    <w:rsid w:val="00DE61B2"/>
    <w:rsid w:val="00E04819"/>
    <w:rsid w:val="00E13622"/>
    <w:rsid w:val="00E14549"/>
    <w:rsid w:val="00E166BB"/>
    <w:rsid w:val="00E17939"/>
    <w:rsid w:val="00E20FEC"/>
    <w:rsid w:val="00E23F08"/>
    <w:rsid w:val="00E6086D"/>
    <w:rsid w:val="00E713BF"/>
    <w:rsid w:val="00E747D0"/>
    <w:rsid w:val="00E87600"/>
    <w:rsid w:val="00E918A9"/>
    <w:rsid w:val="00EA50C1"/>
    <w:rsid w:val="00EB53F7"/>
    <w:rsid w:val="00ED5E2E"/>
    <w:rsid w:val="00EE2B59"/>
    <w:rsid w:val="00F022B4"/>
    <w:rsid w:val="00F4249A"/>
    <w:rsid w:val="00F4645A"/>
    <w:rsid w:val="00F72F4A"/>
    <w:rsid w:val="00F808B5"/>
    <w:rsid w:val="00F82D97"/>
    <w:rsid w:val="00F878FE"/>
    <w:rsid w:val="00FA0EFF"/>
    <w:rsid w:val="00FC5900"/>
    <w:rsid w:val="00FD5414"/>
    <w:rsid w:val="00FD68DF"/>
    <w:rsid w:val="00FE29EE"/>
    <w:rsid w:val="00FE7AD3"/>
    <w:rsid w:val="27E71B78"/>
    <w:rsid w:val="478BC24F"/>
    <w:rsid w:val="4E27F01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A353"/>
  <w15:docId w15:val="{2B7D80D5-8CE9-4FA4-83B3-9C5A647C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link w:val="Ttulo1Char"/>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Pr>
      <w:sz w:val="20"/>
      <w:szCs w:val="20"/>
    </w:rPr>
  </w:style>
  <w:style w:type="paragraph" w:styleId="Ttulo">
    <w:name w:val="Title"/>
    <w:basedOn w:val="Normal"/>
    <w:uiPriority w:val="10"/>
    <w:qFormat/>
    <w:pPr>
      <w:spacing w:before="73"/>
      <w:ind w:left="112"/>
    </w:pPr>
    <w:rPr>
      <w:b/>
      <w:bCs/>
      <w:i/>
      <w:i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7233CE"/>
    <w:rPr>
      <w:color w:val="0000FF" w:themeColor="hyperlink"/>
      <w:u w:val="single"/>
    </w:rPr>
  </w:style>
  <w:style w:type="character" w:styleId="MenoPendente">
    <w:name w:val="Unresolved Mention"/>
    <w:basedOn w:val="Fontepargpadro"/>
    <w:uiPriority w:val="99"/>
    <w:semiHidden/>
    <w:unhideWhenUsed/>
    <w:rsid w:val="007233CE"/>
    <w:rPr>
      <w:color w:val="605E5C"/>
      <w:shd w:val="clear" w:color="auto" w:fill="E1DFDD"/>
    </w:rPr>
  </w:style>
  <w:style w:type="character" w:styleId="TextodoEspaoReservado">
    <w:name w:val="Placeholder Text"/>
    <w:basedOn w:val="Fontepargpadro"/>
    <w:uiPriority w:val="99"/>
    <w:semiHidden/>
    <w:rsid w:val="00033007"/>
    <w:rPr>
      <w:color w:val="666666"/>
    </w:rPr>
  </w:style>
  <w:style w:type="paragraph" w:styleId="Reviso">
    <w:name w:val="Revision"/>
    <w:hidden/>
    <w:uiPriority w:val="99"/>
    <w:semiHidden/>
    <w:rsid w:val="006B6240"/>
    <w:pPr>
      <w:widowControl/>
      <w:autoSpaceDE/>
      <w:autoSpaceDN/>
    </w:pPr>
    <w:rPr>
      <w:rFonts w:ascii="Times New Roman" w:eastAsia="Times New Roman" w:hAnsi="Times New Roman" w:cs="Times New Roman"/>
    </w:rPr>
  </w:style>
  <w:style w:type="character" w:styleId="Refdecomentrio">
    <w:name w:val="annotation reference"/>
    <w:basedOn w:val="Fontepargpadro"/>
    <w:uiPriority w:val="99"/>
    <w:semiHidden/>
    <w:unhideWhenUsed/>
    <w:rsid w:val="00B25338"/>
    <w:rPr>
      <w:sz w:val="16"/>
      <w:szCs w:val="16"/>
    </w:rPr>
  </w:style>
  <w:style w:type="paragraph" w:styleId="Textodecomentrio">
    <w:name w:val="annotation text"/>
    <w:basedOn w:val="Normal"/>
    <w:link w:val="TextodecomentrioChar"/>
    <w:uiPriority w:val="99"/>
    <w:unhideWhenUsed/>
    <w:rsid w:val="00B25338"/>
    <w:rPr>
      <w:sz w:val="20"/>
      <w:szCs w:val="20"/>
    </w:rPr>
  </w:style>
  <w:style w:type="character" w:customStyle="1" w:styleId="TextodecomentrioChar">
    <w:name w:val="Texto de comentário Char"/>
    <w:basedOn w:val="Fontepargpadro"/>
    <w:link w:val="Textodecomentrio"/>
    <w:uiPriority w:val="99"/>
    <w:rsid w:val="00B25338"/>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25338"/>
    <w:rPr>
      <w:b/>
      <w:bCs/>
    </w:rPr>
  </w:style>
  <w:style w:type="character" w:customStyle="1" w:styleId="AssuntodocomentrioChar">
    <w:name w:val="Assunto do comentário Char"/>
    <w:basedOn w:val="TextodecomentrioChar"/>
    <w:link w:val="Assuntodocomentrio"/>
    <w:uiPriority w:val="99"/>
    <w:semiHidden/>
    <w:rsid w:val="00B25338"/>
    <w:rPr>
      <w:rFonts w:ascii="Times New Roman" w:eastAsia="Times New Roman" w:hAnsi="Times New Roman" w:cs="Times New Roman"/>
      <w:b/>
      <w:bCs/>
      <w:sz w:val="20"/>
      <w:szCs w:val="20"/>
    </w:rPr>
  </w:style>
  <w:style w:type="character" w:customStyle="1" w:styleId="CorpodetextoChar">
    <w:name w:val="Corpo de texto Char"/>
    <w:basedOn w:val="Fontepargpadro"/>
    <w:link w:val="Corpodetexto"/>
    <w:uiPriority w:val="1"/>
    <w:rsid w:val="001267C1"/>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571C05"/>
    <w:rPr>
      <w:color w:val="800080" w:themeColor="followedHyperlink"/>
      <w:u w:val="single"/>
    </w:rPr>
  </w:style>
  <w:style w:type="character" w:customStyle="1" w:styleId="Ttulo1Char">
    <w:name w:val="Título 1 Char"/>
    <w:basedOn w:val="Fontepargpadro"/>
    <w:link w:val="Ttulo1"/>
    <w:uiPriority w:val="9"/>
    <w:rsid w:val="009F244D"/>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diego.amaral@ppe.ufrj.br"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anderson.pelluso@ppe.ufrj.br"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76964CB854C47BA0244F6153013D6"/>
        <w:category>
          <w:name w:val="Geral"/>
          <w:gallery w:val="placeholder"/>
        </w:category>
        <w:types>
          <w:type w:val="bbPlcHdr"/>
        </w:types>
        <w:behaviors>
          <w:behavior w:val="content"/>
        </w:behaviors>
        <w:guid w:val="{6C29ED94-C5DC-41ED-8152-8AEB06206EF4}"/>
      </w:docPartPr>
      <w:docPartBody>
        <w:p w:rsidR="00936053" w:rsidRDefault="00936053">
          <w:pPr>
            <w:pStyle w:val="65276964CB854C47BA0244F6153013D6"/>
          </w:pPr>
          <w:r w:rsidRPr="00977590">
            <w:rPr>
              <w:rStyle w:val="TextodoEspaoReservad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53"/>
    <w:rsid w:val="001B7142"/>
    <w:rsid w:val="005A11FC"/>
    <w:rsid w:val="009360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A11FC"/>
    <w:rPr>
      <w:color w:val="666666"/>
    </w:rPr>
  </w:style>
  <w:style w:type="paragraph" w:customStyle="1" w:styleId="65276964CB854C47BA0244F6153013D6">
    <w:name w:val="65276964CB854C47BA0244F615301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E0E7-A6CD-4993-81A6-A68A3FDE02F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1534</Words>
  <Characters>8289</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cp:lastModifiedBy>Anderson Pelluso</cp:lastModifiedBy>
  <cp:revision>2</cp:revision>
  <dcterms:created xsi:type="dcterms:W3CDTF">2024-03-29T10:22:00Z</dcterms:created>
  <dcterms:modified xsi:type="dcterms:W3CDTF">2024-03-29T10:22:00Z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2024-03-18T00:00:00Z</vt:filetime>
  </property>
</Properties>
</file>