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9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2E165301" w14:textId="77777777" w:rsidR="00EA590D" w:rsidRP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b/>
          <w:bCs/>
          <w:sz w:val="24"/>
          <w:szCs w:val="24"/>
        </w:rPr>
      </w:pPr>
      <w:r w:rsidRPr="00EA590D">
        <w:rPr>
          <w:b/>
          <w:bCs/>
          <w:sz w:val="24"/>
          <w:szCs w:val="24"/>
        </w:rPr>
        <w:t>PROJETO ALVORECER FÍSICA - EXPLORANDO A EDUCAÇÃO EM</w:t>
      </w:r>
    </w:p>
    <w:p w14:paraId="297B0E54" w14:textId="77777777" w:rsidR="00EA590D" w:rsidRP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b/>
          <w:bCs/>
          <w:sz w:val="24"/>
          <w:szCs w:val="24"/>
        </w:rPr>
      </w:pPr>
      <w:r w:rsidRPr="00EA590D">
        <w:rPr>
          <w:b/>
          <w:bCs/>
          <w:sz w:val="24"/>
          <w:szCs w:val="24"/>
        </w:rPr>
        <w:t>ASTRONOMIA POR MEIO DA RELAÇÃO UNIVERSIDADE-ESCOLA:</w:t>
      </w:r>
    </w:p>
    <w:p w14:paraId="0E304FB6" w14:textId="70E1727F" w:rsidR="006177DE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b/>
          <w:bCs/>
          <w:sz w:val="24"/>
          <w:szCs w:val="24"/>
        </w:rPr>
      </w:pPr>
      <w:r w:rsidRPr="00EA590D">
        <w:rPr>
          <w:b/>
          <w:bCs/>
          <w:sz w:val="24"/>
          <w:szCs w:val="24"/>
        </w:rPr>
        <w:t>POSSIBILIDADES DIALÓGICAS QUE POTENCIALIZAM NOVAS DESCOBERTAS</w:t>
      </w:r>
    </w:p>
    <w:p w14:paraId="7747398D" w14:textId="77777777" w:rsid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color w:val="000000"/>
          <w:sz w:val="24"/>
          <w:szCs w:val="24"/>
        </w:rPr>
      </w:pPr>
    </w:p>
    <w:p w14:paraId="0484F12D" w14:textId="2B98A4AF" w:rsidR="0004562B" w:rsidRPr="00A25017" w:rsidRDefault="00965A44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 w:rsidRPr="00A25017">
        <w:rPr>
          <w:color w:val="000000"/>
          <w:sz w:val="24"/>
          <w:szCs w:val="24"/>
        </w:rPr>
        <w:t>(</w:t>
      </w:r>
      <w:r w:rsidR="0004562B" w:rsidRPr="00A25017">
        <w:rPr>
          <w:color w:val="000000"/>
          <w:sz w:val="24"/>
          <w:szCs w:val="24"/>
        </w:rPr>
        <w:t>ARAÚJO, Flaviane Silva de</w:t>
      </w:r>
      <w:r w:rsidR="00E116F4">
        <w:rPr>
          <w:color w:val="000000"/>
          <w:sz w:val="24"/>
          <w:szCs w:val="24"/>
        </w:rPr>
        <w:t>)</w:t>
      </w:r>
      <w:r w:rsidR="00446992" w:rsidRPr="00A25017">
        <w:rPr>
          <w:color w:val="000000"/>
          <w:sz w:val="24"/>
          <w:szCs w:val="24"/>
        </w:rPr>
        <w:t xml:space="preserve">, </w:t>
      </w:r>
      <w:hyperlink r:id="rId10" w:history="1">
        <w:r w:rsidR="00446992" w:rsidRPr="00A25017">
          <w:rPr>
            <w:rStyle w:val="Hyperlink"/>
            <w:sz w:val="24"/>
            <w:szCs w:val="24"/>
          </w:rPr>
          <w:t>fs883897@gmail.com</w:t>
        </w:r>
      </w:hyperlink>
      <w:r w:rsidR="00085CD0" w:rsidRPr="00A25017">
        <w:rPr>
          <w:color w:val="000000"/>
          <w:sz w:val="24"/>
          <w:szCs w:val="24"/>
        </w:rPr>
        <w:t>,</w:t>
      </w:r>
      <w:r w:rsidRPr="00A25017">
        <w:rPr>
          <w:color w:val="000000"/>
          <w:sz w:val="24"/>
          <w:szCs w:val="24"/>
        </w:rPr>
        <w:t xml:space="preserve"> Universidade Federal do Norte do Tocantins</w:t>
      </w:r>
    </w:p>
    <w:p w14:paraId="570B34CD" w14:textId="1C6C0DF8" w:rsidR="0004562B" w:rsidRPr="00A25017" w:rsidRDefault="00965A44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 w:rsidRPr="00A25017">
        <w:rPr>
          <w:color w:val="000000"/>
          <w:sz w:val="24"/>
          <w:szCs w:val="24"/>
        </w:rPr>
        <w:t>(</w:t>
      </w:r>
      <w:r w:rsidR="0004562B" w:rsidRPr="00A25017">
        <w:rPr>
          <w:color w:val="000000"/>
          <w:sz w:val="24"/>
          <w:szCs w:val="24"/>
        </w:rPr>
        <w:t>NASCENTE, Priscila Kássia Marques</w:t>
      </w:r>
      <w:r w:rsidRPr="00A25017">
        <w:rPr>
          <w:color w:val="000000"/>
          <w:sz w:val="24"/>
          <w:szCs w:val="24"/>
        </w:rPr>
        <w:t>)</w:t>
      </w:r>
      <w:r w:rsidR="00E116F4">
        <w:rPr>
          <w:color w:val="000000"/>
          <w:sz w:val="24"/>
          <w:szCs w:val="24"/>
        </w:rPr>
        <w:t>,</w:t>
      </w:r>
      <w:r w:rsidRPr="00A25017">
        <w:rPr>
          <w:sz w:val="24"/>
          <w:szCs w:val="24"/>
        </w:rPr>
        <w:t xml:space="preserve"> </w:t>
      </w:r>
      <w:hyperlink r:id="rId11" w:history="1">
        <w:r w:rsidRPr="00A25017">
          <w:rPr>
            <w:rStyle w:val="Hyperlink"/>
            <w:sz w:val="24"/>
            <w:szCs w:val="24"/>
          </w:rPr>
          <w:t>priscilak.nascente@gmail.com</w:t>
        </w:r>
      </w:hyperlink>
      <w:r w:rsidRPr="00A25017">
        <w:rPr>
          <w:color w:val="000000"/>
          <w:sz w:val="24"/>
          <w:szCs w:val="24"/>
        </w:rPr>
        <w:t>, Universidade Federal do Norte do Tocantins</w:t>
      </w:r>
    </w:p>
    <w:p w14:paraId="4E0F2E82" w14:textId="2089CAEA" w:rsidR="0004562B" w:rsidRPr="00A25017" w:rsidRDefault="00965A44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 w:rsidRPr="00A25017">
        <w:rPr>
          <w:color w:val="000000"/>
          <w:sz w:val="24"/>
          <w:szCs w:val="24"/>
        </w:rPr>
        <w:t>(</w:t>
      </w:r>
      <w:r w:rsidR="0004562B" w:rsidRPr="00A25017">
        <w:rPr>
          <w:color w:val="000000"/>
          <w:sz w:val="24"/>
          <w:szCs w:val="24"/>
        </w:rPr>
        <w:t>SOUSA, Thais Ritielly Brandão</w:t>
      </w:r>
      <w:r w:rsidRPr="00A25017">
        <w:rPr>
          <w:color w:val="000000"/>
          <w:sz w:val="24"/>
          <w:szCs w:val="24"/>
        </w:rPr>
        <w:t>)</w:t>
      </w:r>
      <w:r w:rsidR="00E116F4">
        <w:rPr>
          <w:color w:val="000000"/>
          <w:sz w:val="24"/>
          <w:szCs w:val="24"/>
        </w:rPr>
        <w:t>,</w:t>
      </w:r>
      <w:r w:rsidRPr="00A25017">
        <w:rPr>
          <w:color w:val="000000"/>
          <w:sz w:val="24"/>
          <w:szCs w:val="24"/>
        </w:rPr>
        <w:t xml:space="preserve"> </w:t>
      </w:r>
      <w:hyperlink r:id="rId12" w:history="1">
        <w:r w:rsidR="00A25017" w:rsidRPr="00A25017">
          <w:rPr>
            <w:rStyle w:val="Hyperlink"/>
            <w:sz w:val="24"/>
            <w:szCs w:val="24"/>
          </w:rPr>
          <w:t>thais.ritielly@ufnt.edu.br</w:t>
        </w:r>
      </w:hyperlink>
      <w:r w:rsidR="00A25017" w:rsidRPr="00A25017">
        <w:rPr>
          <w:sz w:val="24"/>
          <w:szCs w:val="24"/>
        </w:rPr>
        <w:t xml:space="preserve">, </w:t>
      </w:r>
      <w:r w:rsidRPr="00A25017">
        <w:rPr>
          <w:color w:val="000000"/>
          <w:sz w:val="24"/>
          <w:szCs w:val="24"/>
        </w:rPr>
        <w:t>Universidade Federal do Norte do Tocantins</w:t>
      </w:r>
    </w:p>
    <w:p w14:paraId="78D94CEC" w14:textId="23624431" w:rsidR="0004562B" w:rsidRPr="00A25017" w:rsidRDefault="00965A44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 w:rsidRPr="00A25017">
        <w:rPr>
          <w:color w:val="000000"/>
          <w:sz w:val="24"/>
          <w:szCs w:val="24"/>
        </w:rPr>
        <w:t>(</w:t>
      </w:r>
      <w:r w:rsidR="0004562B" w:rsidRPr="00A25017">
        <w:rPr>
          <w:color w:val="000000"/>
          <w:sz w:val="24"/>
          <w:szCs w:val="24"/>
        </w:rPr>
        <w:t>CUNHA, Luís Vinícius de Alencar</w:t>
      </w:r>
      <w:r w:rsidRPr="00A25017">
        <w:rPr>
          <w:color w:val="000000"/>
          <w:sz w:val="24"/>
          <w:szCs w:val="24"/>
        </w:rPr>
        <w:t>)</w:t>
      </w:r>
      <w:r w:rsidR="00085CD0" w:rsidRPr="00A25017">
        <w:rPr>
          <w:color w:val="000000"/>
          <w:sz w:val="24"/>
          <w:szCs w:val="24"/>
        </w:rPr>
        <w:t xml:space="preserve">, </w:t>
      </w:r>
      <w:hyperlink r:id="rId13" w:history="1">
        <w:r w:rsidR="004531BC" w:rsidRPr="00A25017">
          <w:rPr>
            <w:rStyle w:val="Hyperlink"/>
            <w:sz w:val="24"/>
            <w:szCs w:val="24"/>
          </w:rPr>
          <w:t>luis.cunha@ufnt.edu.br</w:t>
        </w:r>
      </w:hyperlink>
      <w:r w:rsidR="00085CD0" w:rsidRPr="00A25017">
        <w:rPr>
          <w:color w:val="000000"/>
          <w:sz w:val="24"/>
          <w:szCs w:val="24"/>
        </w:rPr>
        <w:t xml:space="preserve">, </w:t>
      </w:r>
      <w:r w:rsidRPr="00A25017">
        <w:rPr>
          <w:color w:val="000000"/>
          <w:sz w:val="24"/>
          <w:szCs w:val="24"/>
        </w:rPr>
        <w:t xml:space="preserve"> Universidade Federal do Norte do Tocantins</w:t>
      </w:r>
    </w:p>
    <w:p w14:paraId="1FDCBB48" w14:textId="6D1476E8" w:rsidR="00085CD0" w:rsidRPr="00A25017" w:rsidRDefault="00085CD0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 w:rsidRPr="00A25017">
        <w:rPr>
          <w:color w:val="000000"/>
          <w:sz w:val="24"/>
          <w:szCs w:val="24"/>
        </w:rPr>
        <w:t xml:space="preserve">RODRIGUES, Fábio Matos), </w:t>
      </w:r>
      <w:hyperlink r:id="rId14" w:history="1">
        <w:r w:rsidRPr="00A25017">
          <w:rPr>
            <w:rStyle w:val="Hyperlink"/>
            <w:sz w:val="24"/>
            <w:szCs w:val="24"/>
          </w:rPr>
          <w:t>fabio.rodrigues@ufnt.edu.br</w:t>
        </w:r>
      </w:hyperlink>
      <w:r w:rsidRPr="00A25017">
        <w:rPr>
          <w:color w:val="000000"/>
          <w:sz w:val="24"/>
          <w:szCs w:val="24"/>
        </w:rPr>
        <w:t>, Universidade Federal do Norte do Tocantins.</w:t>
      </w:r>
    </w:p>
    <w:p w14:paraId="54FBB1F0" w14:textId="1604C7EB" w:rsidR="00EA590D" w:rsidRPr="00A25017" w:rsidRDefault="00EA590D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11DD623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68923470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EXATAS E DA TERRA,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4F6A404E" w14:textId="5FDB5AEA" w:rsidR="0004562B" w:rsidRPr="0004562B" w:rsidRDefault="0004562B" w:rsidP="0004562B">
      <w:pPr>
        <w:pStyle w:val="p1"/>
        <w:jc w:val="both"/>
      </w:pPr>
      <w:r>
        <w:t>O presente projeto buscou aproximar a universidade da comunidade escolar e da sociedade, promovendo o acesso democrático ao conhecimento científico. Fundamentado na metodologia da Aprendizagem Baseada em Problemas (APB), o projeto integrou ensino, pesquisa e extensão, com foco na formação docente e na divulgação científica. Foram realizadas ações como a Mostra da Física na Via Lago, oficinas com maquetes, noites de observação astronômica e palestras inclusivas. Os resultados apontaram para o envolvimento de mais de 500 participantes, fortalecimento das competências científicas dos licenciandos, ampliação do interesse pela Ciência e efetiva inclusão de pessoas com deficiência visual. A chegada de novos telescópios e a oferta de formações específicas consolidaram a infraestrutura e o potencial formativo da UFNT. Conclui-se que a interação universidade-escola é um caminho eficaz para tornar o universo acessível, promover a inclusão e fortalecer a cultura científica regional.</w:t>
      </w:r>
    </w:p>
    <w:p w14:paraId="43D4912A" w14:textId="77777777" w:rsidR="0004562B" w:rsidRDefault="00A6025C" w:rsidP="0004562B">
      <w:pPr>
        <w:pStyle w:val="p1"/>
      </w:pPr>
      <w:r>
        <w:rPr>
          <w:b/>
          <w:color w:val="000000"/>
        </w:rPr>
        <w:t xml:space="preserve">Palavras-chave: </w:t>
      </w:r>
      <w:r w:rsidR="0004562B">
        <w:t>Astronomia; Divulgação científica; Formação docente; Inclusão.</w:t>
      </w:r>
    </w:p>
    <w:p w14:paraId="5F9F83D7" w14:textId="4CD1C968" w:rsidR="006177DE" w:rsidRDefault="006177DE" w:rsidP="000456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91C9EB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7A230A7C" w14:textId="77777777" w:rsid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Cs/>
          <w:color w:val="000000"/>
          <w:sz w:val="24"/>
          <w:szCs w:val="24"/>
        </w:rPr>
      </w:pPr>
      <w:r w:rsidRPr="00EA590D">
        <w:rPr>
          <w:bCs/>
          <w:color w:val="000000"/>
          <w:sz w:val="24"/>
          <w:szCs w:val="24"/>
        </w:rPr>
        <w:t>Tornar o universo acessível por meio da interação universidade-escola é de fato um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grande desafio. Tal desafio não se configura em realidades locais, mas em todos os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cenários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 xml:space="preserve">brasileiros. </w:t>
      </w:r>
      <w:r w:rsidRPr="00EA590D">
        <w:rPr>
          <w:bCs/>
          <w:color w:val="000000"/>
          <w:sz w:val="24"/>
          <w:szCs w:val="24"/>
        </w:rPr>
        <w:lastRenderedPageBreak/>
        <w:t>Os desafios estão relacionados, principalmente, à formação docente, à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ausência de infraestrutura adequada, à escassez de materiais didáticos específicos e à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dificuldade de integrar os conteúdos astronômicos de forma significativa ao currículo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escolar. Segundo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Soares et al. (2020), a falta de capacitação adequada compromete a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qualidade do ensino e a motivação dos docentes para tratar temas astronômicos. Muitos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professores da Educação Básica, especialmente nos anos iniciais, não possuem formação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específica em Astronomia, o que limita a abordagem dos conteúdos de forma aprofundada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e segura. Segundo Soares et al. (2020), a falta de capacitação adequada compromete a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qualidade do ensino e a motivação dos docentes para tratar temas astronômicos.</w:t>
      </w:r>
    </w:p>
    <w:p w14:paraId="44FBE4AF" w14:textId="2450FADA" w:rsidR="006177DE" w:rsidRP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Cs/>
          <w:color w:val="000000"/>
          <w:sz w:val="24"/>
          <w:szCs w:val="24"/>
        </w:rPr>
      </w:pPr>
      <w:r w:rsidRPr="00EA590D">
        <w:rPr>
          <w:bCs/>
          <w:color w:val="000000"/>
          <w:sz w:val="24"/>
          <w:szCs w:val="24"/>
        </w:rPr>
        <w:t>Outro fator observado por Santos e Silva (2018) trata-se da ausência de materiais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como telescópios, softwares de simulação ou espaços para observação do céu é um entrave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recorrente nas escolas. Mesmo recursos simples, como maquetes ou mapas celestes, muitas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vezes não estão disponíveis ou são pouco utilizados. Lima e Martins (2017) chamam a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atenção para o fato de que se observa na astronomia um Currículo fragmentado e abordagem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superficial. Apesar de a BNCC contemplar conteúdos relacionados à Astronomia, eles são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frequentemente abordados de forma pontual, sem articulação entre os diferentes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componentes curriculares. Isso compromete a compreensão global dos fenômenos celestes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e suas relações com outras áreas do conhecimento.</w:t>
      </w:r>
    </w:p>
    <w:p w14:paraId="4767AF49" w14:textId="18CE0BEF" w:rsidR="00EA590D" w:rsidRPr="00EA590D" w:rsidRDefault="00EA590D" w:rsidP="00EA5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bCs/>
          <w:color w:val="000000"/>
          <w:sz w:val="24"/>
          <w:szCs w:val="24"/>
        </w:rPr>
      </w:pPr>
      <w:r w:rsidRPr="00EA590D">
        <w:rPr>
          <w:bCs/>
          <w:color w:val="000000"/>
          <w:sz w:val="24"/>
          <w:szCs w:val="24"/>
        </w:rPr>
        <w:t>Como tentativa de superar essas dificuldades foi que nasceu o interesse em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desenvolver este projeto. Nele buscou promover o diálogo entre a universidade e a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sociedade, através de ações que possibilitaram o compartilhamento do conhecimento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científico adquirido por meio do ensino e da pesquisa desenvolvidos na instituição.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Esta proposta teve como pano de fundo expandir as habilidades dos futuros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>licenciando em Física com conhecimentos científicos e práticos para além da universidade</w:t>
      </w:r>
      <w:r>
        <w:rPr>
          <w:bCs/>
          <w:color w:val="000000"/>
          <w:sz w:val="24"/>
          <w:szCs w:val="24"/>
        </w:rPr>
        <w:t xml:space="preserve"> </w:t>
      </w:r>
      <w:r w:rsidRPr="00EA590D">
        <w:rPr>
          <w:bCs/>
          <w:color w:val="000000"/>
          <w:sz w:val="24"/>
          <w:szCs w:val="24"/>
        </w:rPr>
        <w:t xml:space="preserve">por meio de ações investigativas e intervencionistas, integrando ensino, pesquisa </w:t>
      </w:r>
      <w:r>
        <w:rPr>
          <w:bCs/>
          <w:color w:val="000000"/>
          <w:sz w:val="24"/>
          <w:szCs w:val="24"/>
        </w:rPr>
        <w:t xml:space="preserve">e </w:t>
      </w:r>
      <w:r w:rsidRPr="00EA590D">
        <w:rPr>
          <w:bCs/>
          <w:color w:val="000000"/>
          <w:sz w:val="24"/>
          <w:szCs w:val="24"/>
        </w:rPr>
        <w:t xml:space="preserve">extensão. </w:t>
      </w:r>
    </w:p>
    <w:p w14:paraId="39B57761" w14:textId="77777777" w:rsidR="006177DE" w:rsidRDefault="006177DE" w:rsidP="00EA59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01B19983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3F07599D" w14:textId="32438A39" w:rsidR="00162E7F" w:rsidRPr="0004562B" w:rsidRDefault="00162E7F" w:rsidP="0004562B">
      <w:pPr>
        <w:pStyle w:val="Ttulo1"/>
        <w:tabs>
          <w:tab w:val="left" w:pos="358"/>
        </w:tabs>
        <w:spacing w:line="360" w:lineRule="auto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 xml:space="preserve">Devido a amplitude do projeto, a metodologia foi híbrida, porém de abordagem qualitativa, considerando a abordagem da Aprendizagem Baseada em </w:t>
      </w:r>
      <w:r w:rsidRPr="00162E7F">
        <w:rPr>
          <w:b w:val="0"/>
          <w:bCs w:val="0"/>
        </w:rPr>
        <w:t>Problemas</w:t>
      </w:r>
      <w:r>
        <w:rPr>
          <w:b w:val="0"/>
          <w:bCs w:val="0"/>
        </w:rPr>
        <w:t xml:space="preserve"> (APB)</w:t>
      </w:r>
      <w:r w:rsidRPr="00162E7F">
        <w:rPr>
          <w:b w:val="0"/>
          <w:bCs w:val="0"/>
        </w:rPr>
        <w:t xml:space="preserve">. A APB é uma abordagem pedagógica centrada no estudante, que busca desenvolver </w:t>
      </w:r>
      <w:r w:rsidRPr="00162E7F">
        <w:rPr>
          <w:rStyle w:val="s1"/>
          <w:b w:val="0"/>
          <w:bCs w:val="0"/>
        </w:rPr>
        <w:t>autonomia, pensamento crítico e capacidade de resolver p</w:t>
      </w:r>
      <w:r w:rsidRPr="0004562B">
        <w:rPr>
          <w:rStyle w:val="s1"/>
          <w:b w:val="0"/>
          <w:bCs w:val="0"/>
        </w:rPr>
        <w:t>roblemas reais</w:t>
      </w:r>
      <w:r w:rsidRPr="0004562B">
        <w:rPr>
          <w:b w:val="0"/>
          <w:bCs w:val="0"/>
        </w:rPr>
        <w:t xml:space="preserve">. </w:t>
      </w:r>
      <w:r w:rsidRPr="0004562B">
        <w:rPr>
          <w:rStyle w:val="s1"/>
          <w:b w:val="0"/>
          <w:bCs w:val="0"/>
        </w:rPr>
        <w:t xml:space="preserve">Ela preconiza </w:t>
      </w:r>
      <w:r w:rsidR="0004562B" w:rsidRPr="0004562B">
        <w:rPr>
          <w:rStyle w:val="s1"/>
          <w:b w:val="0"/>
          <w:bCs w:val="0"/>
        </w:rPr>
        <w:t xml:space="preserve">os pilares da: (a) </w:t>
      </w:r>
      <w:r w:rsidR="0004562B">
        <w:rPr>
          <w:rStyle w:val="s1"/>
          <w:b w:val="0"/>
          <w:bCs w:val="0"/>
        </w:rPr>
        <w:t>a a</w:t>
      </w:r>
      <w:r w:rsidRPr="0004562B">
        <w:rPr>
          <w:rStyle w:val="s1"/>
          <w:b w:val="0"/>
          <w:bCs w:val="0"/>
        </w:rPr>
        <w:t>prendizagem ativa</w:t>
      </w:r>
      <w:r w:rsidR="0004562B" w:rsidRPr="0004562B">
        <w:rPr>
          <w:rStyle w:val="s1"/>
          <w:b w:val="0"/>
          <w:bCs w:val="0"/>
        </w:rPr>
        <w:t xml:space="preserve">, onde </w:t>
      </w:r>
      <w:r w:rsidRPr="0004562B">
        <w:rPr>
          <w:b w:val="0"/>
          <w:bCs w:val="0"/>
        </w:rPr>
        <w:t>os estudantes buscam, discutem e aplicam o conhecimento</w:t>
      </w:r>
      <w:r w:rsidR="0004562B" w:rsidRPr="0004562B">
        <w:rPr>
          <w:b w:val="0"/>
          <w:bCs w:val="0"/>
        </w:rPr>
        <w:t xml:space="preserve">; (b) </w:t>
      </w:r>
      <w:r w:rsidR="0004562B">
        <w:rPr>
          <w:rStyle w:val="s1"/>
          <w:b w:val="0"/>
          <w:bCs w:val="0"/>
        </w:rPr>
        <w:t>a i</w:t>
      </w:r>
      <w:r w:rsidRPr="0004562B">
        <w:rPr>
          <w:rStyle w:val="s1"/>
          <w:b w:val="0"/>
          <w:bCs w:val="0"/>
        </w:rPr>
        <w:t>ntegração teoria-prática</w:t>
      </w:r>
      <w:r w:rsidR="0004562B" w:rsidRPr="0004562B">
        <w:rPr>
          <w:rStyle w:val="s1"/>
          <w:b w:val="0"/>
          <w:bCs w:val="0"/>
        </w:rPr>
        <w:t xml:space="preserve"> em que </w:t>
      </w:r>
      <w:r w:rsidRPr="0004562B">
        <w:rPr>
          <w:b w:val="0"/>
          <w:bCs w:val="0"/>
        </w:rPr>
        <w:t>os conceitos são aprendidos no contexto de sua aplicação</w:t>
      </w:r>
      <w:r w:rsidR="0004562B" w:rsidRPr="0004562B">
        <w:rPr>
          <w:b w:val="0"/>
          <w:bCs w:val="0"/>
        </w:rPr>
        <w:t xml:space="preserve">; (c) </w:t>
      </w:r>
      <w:r w:rsidR="0004562B">
        <w:rPr>
          <w:rStyle w:val="s1"/>
          <w:b w:val="0"/>
          <w:bCs w:val="0"/>
        </w:rPr>
        <w:t>o t</w:t>
      </w:r>
      <w:r w:rsidRPr="0004562B">
        <w:rPr>
          <w:rStyle w:val="s1"/>
          <w:b w:val="0"/>
          <w:bCs w:val="0"/>
        </w:rPr>
        <w:t>rabalho colaborativo</w:t>
      </w:r>
      <w:r w:rsidR="0004562B" w:rsidRPr="0004562B">
        <w:rPr>
          <w:rStyle w:val="s1"/>
          <w:b w:val="0"/>
          <w:bCs w:val="0"/>
        </w:rPr>
        <w:t xml:space="preserve">, pois </w:t>
      </w:r>
      <w:r w:rsidRPr="0004562B">
        <w:rPr>
          <w:b w:val="0"/>
          <w:bCs w:val="0"/>
        </w:rPr>
        <w:t>os alunos trabalham em grupo para discutir hipóteses e estratégias</w:t>
      </w:r>
      <w:r w:rsidR="0004562B" w:rsidRPr="0004562B">
        <w:rPr>
          <w:b w:val="0"/>
          <w:bCs w:val="0"/>
        </w:rPr>
        <w:t xml:space="preserve"> e, por fim, </w:t>
      </w:r>
      <w:r w:rsidR="0004562B" w:rsidRPr="0004562B">
        <w:rPr>
          <w:b w:val="0"/>
          <w:bCs w:val="0"/>
        </w:rPr>
        <w:lastRenderedPageBreak/>
        <w:t xml:space="preserve">(d) o </w:t>
      </w:r>
      <w:r w:rsidR="0004562B">
        <w:rPr>
          <w:rStyle w:val="s1"/>
          <w:b w:val="0"/>
          <w:bCs w:val="0"/>
        </w:rPr>
        <w:t>d</w:t>
      </w:r>
      <w:r w:rsidRPr="0004562B">
        <w:rPr>
          <w:rStyle w:val="s1"/>
          <w:b w:val="0"/>
          <w:bCs w:val="0"/>
        </w:rPr>
        <w:t>esenvolvimento de competências</w:t>
      </w:r>
      <w:r w:rsidR="0004562B" w:rsidRPr="0004562B">
        <w:rPr>
          <w:rStyle w:val="s1"/>
          <w:b w:val="0"/>
          <w:bCs w:val="0"/>
        </w:rPr>
        <w:t>, levando em conta o</w:t>
      </w:r>
      <w:r w:rsidRPr="0004562B">
        <w:rPr>
          <w:b w:val="0"/>
          <w:bCs w:val="0"/>
        </w:rPr>
        <w:t xml:space="preserve"> raciocínio crítico, autonomia, comunicação e cooperação.</w:t>
      </w:r>
    </w:p>
    <w:p w14:paraId="155ADED4" w14:textId="012B272C" w:rsidR="006177DE" w:rsidRPr="00162E7F" w:rsidRDefault="00162E7F" w:rsidP="0004562B">
      <w:pPr>
        <w:pStyle w:val="Ttulo1"/>
        <w:tabs>
          <w:tab w:val="left" w:pos="358"/>
        </w:tabs>
        <w:spacing w:line="360" w:lineRule="auto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Primeiramente, d</w:t>
      </w:r>
      <w:r w:rsidR="00A7750F" w:rsidRPr="00162E7F">
        <w:rPr>
          <w:b w:val="0"/>
          <w:bCs w:val="0"/>
        </w:rPr>
        <w:t>urante seis meses, a equipe participou ativamente do curso “Astrofísica para</w:t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>Todos”</w:t>
      </w:r>
      <w:r>
        <w:rPr>
          <w:rStyle w:val="Refdenotaderodap"/>
          <w:b w:val="0"/>
          <w:bCs w:val="0"/>
        </w:rPr>
        <w:footnoteReference w:id="1"/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>, uma formação continuada voltada à ampliação dos conhecimentos científicos e</w:t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>pedagógicos em Astronomia. O curso abordou conteúdos como a origem do universo, a</w:t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>evolução estelar, os sistemas planetários e as tecnologias de observação astronômica. As</w:t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>aulas teóricas foram acompanhadas por discussões orientadas, o que permitiu uma</w:t>
      </w:r>
      <w:r>
        <w:rPr>
          <w:b w:val="0"/>
          <w:bCs w:val="0"/>
        </w:rPr>
        <w:t xml:space="preserve"> </w:t>
      </w:r>
      <w:r w:rsidR="00A7750F" w:rsidRPr="00162E7F">
        <w:rPr>
          <w:b w:val="0"/>
          <w:bCs w:val="0"/>
        </w:rPr>
        <w:t xml:space="preserve">abordagem crítica e integrada dos saberes. </w:t>
      </w:r>
    </w:p>
    <w:p w14:paraId="652C8851" w14:textId="4512F42B" w:rsidR="00A7750F" w:rsidRPr="00162E7F" w:rsidRDefault="00A7750F" w:rsidP="0004562B">
      <w:pPr>
        <w:pStyle w:val="Ttulo1"/>
        <w:tabs>
          <w:tab w:val="left" w:pos="358"/>
        </w:tabs>
        <w:spacing w:line="360" w:lineRule="auto"/>
        <w:ind w:left="0" w:firstLine="426"/>
        <w:jc w:val="both"/>
        <w:rPr>
          <w:b w:val="0"/>
          <w:bCs w:val="0"/>
        </w:rPr>
      </w:pPr>
      <w:r w:rsidRPr="00162E7F">
        <w:rPr>
          <w:b w:val="0"/>
          <w:bCs w:val="0"/>
        </w:rPr>
        <w:t>Em novembro de 2024, foi realizada uma edição da Mostra da Física na Via Lago,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um espaço público de grande circulação que se transformou, por uma tarde, em um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verdadeiro centro de divulgação científica. A iniciativa teve como objetivo aproximar a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comunidade dos conhecimentos da Física por meio de atividades interativas, promovendo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a curiosidade e o interesse pela Ciência. Entre as atrações principais, destacaram-se as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maquetes do sistema solar e das estações do ano, produzidas com criatividade e rigor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conceitual pelos colaboradores envolvidos no projeto.</w:t>
      </w:r>
    </w:p>
    <w:p w14:paraId="1110F94B" w14:textId="18E96CEE" w:rsidR="00A7750F" w:rsidRPr="00162E7F" w:rsidRDefault="00A7750F" w:rsidP="0004562B">
      <w:pPr>
        <w:pStyle w:val="Ttulo1"/>
        <w:tabs>
          <w:tab w:val="left" w:pos="358"/>
        </w:tabs>
        <w:spacing w:line="360" w:lineRule="auto"/>
        <w:ind w:left="0" w:firstLine="426"/>
        <w:jc w:val="both"/>
        <w:rPr>
          <w:b w:val="0"/>
          <w:bCs w:val="0"/>
        </w:rPr>
      </w:pPr>
      <w:r w:rsidRPr="00162E7F">
        <w:rPr>
          <w:b w:val="0"/>
          <w:bCs w:val="0"/>
        </w:rPr>
        <w:t xml:space="preserve">Uma das ações marcantes foi a </w:t>
      </w:r>
      <w:r w:rsidR="0004562B">
        <w:rPr>
          <w:b w:val="0"/>
          <w:bCs w:val="0"/>
        </w:rPr>
        <w:t>r</w:t>
      </w:r>
      <w:r w:rsidR="0004562B" w:rsidRPr="00162E7F">
        <w:rPr>
          <w:b w:val="0"/>
          <w:bCs w:val="0"/>
        </w:rPr>
        <w:t>ecepção</w:t>
      </w:r>
      <w:r w:rsidRPr="00162E7F">
        <w:rPr>
          <w:b w:val="0"/>
          <w:bCs w:val="0"/>
        </w:rPr>
        <w:t xml:space="preserve"> </w:t>
      </w:r>
      <w:r w:rsidR="0004562B">
        <w:rPr>
          <w:b w:val="0"/>
          <w:bCs w:val="0"/>
        </w:rPr>
        <w:t>de alguns</w:t>
      </w:r>
      <w:r w:rsidRPr="00162E7F">
        <w:rPr>
          <w:b w:val="0"/>
          <w:bCs w:val="0"/>
        </w:rPr>
        <w:t xml:space="preserve"> alunos da rede básica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de ensino e membros da comunidade local com o objetivo de apresentar instrumentos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astronômicos e divulgar o conhecimento científico relacionado ao espaço. O evento foi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realizado no campus da universidade e contou com a participação dos colaboradores, que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organizaram atividades interativas para aproximar o público dos fenômenos celestes e das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práticas científicas que envolvem sua observação e estudo.</w:t>
      </w:r>
    </w:p>
    <w:p w14:paraId="455DE897" w14:textId="5F4A5EC4" w:rsidR="00A7750F" w:rsidRPr="00162E7F" w:rsidRDefault="00A7750F" w:rsidP="0004562B">
      <w:pPr>
        <w:pStyle w:val="Ttulo1"/>
        <w:tabs>
          <w:tab w:val="left" w:pos="358"/>
        </w:tabs>
        <w:spacing w:line="360" w:lineRule="auto"/>
        <w:ind w:left="0" w:firstLine="426"/>
        <w:jc w:val="both"/>
        <w:rPr>
          <w:b w:val="0"/>
          <w:bCs w:val="0"/>
        </w:rPr>
      </w:pPr>
      <w:r w:rsidRPr="00162E7F">
        <w:rPr>
          <w:b w:val="0"/>
          <w:bCs w:val="0"/>
        </w:rPr>
        <w:t>Durante a visita, os participantes puderam conhecer de perto telescópios, lunetas e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maquetes didáticas utilizadas no ensino e na pesquisa astronômica. As explicações foram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mediadas pelos colaboradores e por mim, tornando o conteúdo acessível para diferentes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faixas etárias. A apresentação dos equipamentos foi acompanhada por exposições sobre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temas como a origem do universo, a formação das estrelas, e as contribuições da astronomia</w:t>
      </w:r>
      <w:r w:rsidR="00162E7F">
        <w:rPr>
          <w:b w:val="0"/>
          <w:bCs w:val="0"/>
        </w:rPr>
        <w:t xml:space="preserve"> </w:t>
      </w:r>
      <w:r w:rsidRPr="00162E7F">
        <w:rPr>
          <w:b w:val="0"/>
          <w:bCs w:val="0"/>
        </w:rPr>
        <w:t>para o avanço tecnológico e cultural da humanidade.</w:t>
      </w:r>
    </w:p>
    <w:p w14:paraId="1371ECA1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7E78654E" w14:textId="45BDA9A7" w:rsidR="007311F7" w:rsidRPr="007311F7" w:rsidRDefault="00920C40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RESULTADOS E CONCLUSÕES</w:t>
      </w:r>
      <w:r w:rsidR="00684373">
        <w:t xml:space="preserve"> </w:t>
      </w:r>
    </w:p>
    <w:p w14:paraId="6CEDFC6D" w14:textId="187AF329" w:rsidR="00A7750F" w:rsidRPr="00A7750F" w:rsidRDefault="00A7750F" w:rsidP="00A7750F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A7750F">
        <w:rPr>
          <w:b w:val="0"/>
          <w:bCs w:val="0"/>
        </w:rPr>
        <w:t>As ações desenvolvidas no âmbito do projeto de popularização da Astronomia na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UFNT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incluindo a Mostra da Física na Via Lago, a chegada de novos telescópios, a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 xml:space="preserve">realização de noites de observação, palestras sobre inclusão e oficinas com maquetes permitiram a construção de </w:t>
      </w:r>
      <w:r w:rsidRPr="00A7750F">
        <w:rPr>
          <w:b w:val="0"/>
          <w:bCs w:val="0"/>
        </w:rPr>
        <w:lastRenderedPageBreak/>
        <w:t>indicadores qualitativos e quantitativos que demonstram a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eficácia e o impacto dessas iniciativas. Esses indicadores foram organizados em três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dimensões principais: participação e alcance, aprendizado e engajamento, e acessibilidade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 inclusão. A análise sistemática desses aspectos revelou resultados expressivos, que reforçam a relevância do investimento institucional em práticas científicas abertas à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comunidade.</w:t>
      </w:r>
    </w:p>
    <w:p w14:paraId="645E3485" w14:textId="51209F3B" w:rsidR="00A7750F" w:rsidRPr="00A7750F" w:rsidRDefault="00A7750F" w:rsidP="00A7750F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A7750F">
        <w:rPr>
          <w:b w:val="0"/>
          <w:bCs w:val="0"/>
        </w:rPr>
        <w:t>Na dimensão da participação, os dados preliminares apontam para o envolvimento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direto de mais de 500 pessoas nas ações realizadas entre agosto e novembro de 2024,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incluindo estudantes da educação básica, universitários, professores da rede pública,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familiares e visitantes da comunidade. A Mostra da Física na Via Lago, por exemplo,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registrou um fluxo contínuo de aproximadamente 300 visitantes ao longo do dia, enquanto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as noites de observação astronômica envolveram cerca de 150 participantes em três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encontros distintos. Esses números indicam uma forte receptividade da comunidade e uma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demanda latente por atividades de divulgação científica na região.</w:t>
      </w:r>
    </w:p>
    <w:p w14:paraId="46EEC59D" w14:textId="507B8946" w:rsidR="00A7750F" w:rsidRPr="00A7750F" w:rsidRDefault="00A7750F" w:rsidP="00A7750F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A7750F">
        <w:rPr>
          <w:b w:val="0"/>
          <w:bCs w:val="0"/>
        </w:rPr>
        <w:t>Quanto ao aprendizado e ao engajamento, observou-se um progresso notável nas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competências científicas dos colaboradores envolvidos diretamente nas ações. As opiniões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dos participantes podem ser vistas tanto no site da SEDUC, quanto no Instagram do Colégio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Cívico-Militar. Aqueles que participaram da construção e apresentação das maquetes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relataram maior domínio conceitual sobre os temas abordados (sistema solar, fases da lua,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eclipses e estações do ano), além de melhora em sua capacidade de comunicação científica.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Professores também relataram que os alunos demonstraram maior interesse pelas aulas de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Ciências após participarem das ações, apontando para um impacto positivo no cotidiano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escolar.</w:t>
      </w:r>
    </w:p>
    <w:p w14:paraId="45830190" w14:textId="29BCB8B2" w:rsidR="00A7750F" w:rsidRPr="00A7750F" w:rsidRDefault="00A7750F" w:rsidP="00A7750F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A7750F">
        <w:rPr>
          <w:b w:val="0"/>
          <w:bCs w:val="0"/>
        </w:rPr>
        <w:t>A chegada dos cinco telescópios à UFNT também representou um marco nos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indicadores de infraestrutura e capacidade técnica. Esses investimentos em recursos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materiais ampliam o potencial das futuras atividades do projeto, permitindo observações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mais frequentes, registros fotográficos e atividades com maior profundidade científica.</w:t>
      </w:r>
    </w:p>
    <w:p w14:paraId="7754CC2B" w14:textId="77777777" w:rsidR="00A7750F" w:rsidRPr="00A7750F" w:rsidRDefault="00A7750F" w:rsidP="0004562B">
      <w:pPr>
        <w:pStyle w:val="Ttulo1"/>
        <w:tabs>
          <w:tab w:val="left" w:pos="358"/>
        </w:tabs>
        <w:spacing w:line="360" w:lineRule="auto"/>
        <w:jc w:val="both"/>
        <w:rPr>
          <w:b w:val="0"/>
          <w:bCs w:val="0"/>
        </w:rPr>
      </w:pPr>
    </w:p>
    <w:p w14:paraId="3A6C37E6" w14:textId="29E1633C" w:rsidR="00CE6DB2" w:rsidRDefault="00920C40" w:rsidP="007311F7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  <w:r w:rsidR="00DB3F5C">
        <w:t xml:space="preserve"> </w:t>
      </w:r>
    </w:p>
    <w:p w14:paraId="43139447" w14:textId="537FECB9" w:rsidR="00EA590D" w:rsidRPr="00EA590D" w:rsidRDefault="00EA590D" w:rsidP="0004562B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EA590D">
        <w:rPr>
          <w:b w:val="0"/>
          <w:bCs w:val="0"/>
        </w:rPr>
        <w:t>As ações desenvolvidas no âmbito da UFNT, voltadas à popularização da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Astronomia, demonstraram o potencial transformador do ensino de Ciências quando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articulado com práticas interativas, acessíveis e comunitárias. A realização da Mostra da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Física, das oficinas com maquetes, das noites de observação astronômica e das palestras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inclusivas proporcionou experiências de aprendizagem ricas e significativas para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estudantes, professores e visitantes da comunidade. Essas atividades ampliaram o interesse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pela ciência, aproximaram o público da universidade e reforçaram o papel social da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instituição como promotora do conhecimento.</w:t>
      </w:r>
    </w:p>
    <w:p w14:paraId="224AAA60" w14:textId="2AE47241" w:rsidR="00EA590D" w:rsidRPr="00EA590D" w:rsidRDefault="00EA590D" w:rsidP="0004562B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EA590D">
        <w:rPr>
          <w:b w:val="0"/>
          <w:bCs w:val="0"/>
        </w:rPr>
        <w:lastRenderedPageBreak/>
        <w:t>A presença ativa de estudantes da graduação como protagonistas na mediação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científica e na construção dos materiais educativos foi um ponto de destaque, promovendo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 formação docente na prática e fortalecendo a interdisciplinaridade entre os cursos. A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chegada dos cinco telescópios e o esforço contínuo de formação para seu uso indicam que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 universidade está investindo em infraestrutura e competência técnica para sustentar essas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ações no médio e longo prazo. A interação entre teoria e prática tornou-se mais evidente, e</w:t>
      </w:r>
      <w:r>
        <w:rPr>
          <w:b w:val="0"/>
          <w:bCs w:val="0"/>
        </w:rPr>
        <w:t xml:space="preserve"> </w:t>
      </w:r>
      <w:r w:rsidRPr="00EA590D">
        <w:rPr>
          <w:b w:val="0"/>
          <w:bCs w:val="0"/>
        </w:rPr>
        <w:t>a Astronomia foi incorporada como ferramenta de encantamento e aprendizado coletivo.</w:t>
      </w:r>
    </w:p>
    <w:p w14:paraId="3DA135B5" w14:textId="77777777" w:rsidR="0004562B" w:rsidRDefault="0004562B" w:rsidP="0004562B">
      <w:pPr>
        <w:pStyle w:val="Ttulo1"/>
        <w:tabs>
          <w:tab w:val="left" w:pos="358"/>
        </w:tabs>
        <w:spacing w:line="360" w:lineRule="auto"/>
        <w:ind w:left="0" w:firstLine="284"/>
        <w:jc w:val="both"/>
        <w:rPr>
          <w:b w:val="0"/>
          <w:bCs w:val="0"/>
        </w:rPr>
      </w:pPr>
      <w:r w:rsidRPr="00A7750F">
        <w:rPr>
          <w:b w:val="0"/>
          <w:bCs w:val="0"/>
        </w:rPr>
        <w:t>Por fim, os resultados alcançados indicam que o projeto, apesar de algumas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dificuldades, cumpriu parcialmente seu papel de democratizar o conhecimento astronômico, valorizar o ensino de Ciências e promover a inclusão. A combinação de práticas interativas,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recursos acessíveis e a abertura da universidade à comunidade tem gerado impactos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educativos e sociais consistentes. A continuidade e ampliação dessas ações são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recomendadas, com foco em novas parcerias, sistematização de experiências e</w:t>
      </w:r>
      <w:r>
        <w:rPr>
          <w:b w:val="0"/>
          <w:bCs w:val="0"/>
        </w:rPr>
        <w:t xml:space="preserve"> </w:t>
      </w:r>
      <w:r w:rsidRPr="00A7750F">
        <w:rPr>
          <w:b w:val="0"/>
          <w:bCs w:val="0"/>
        </w:rPr>
        <w:t>fortalecimento da cultura científica na região norte do Tocantins.</w:t>
      </w:r>
    </w:p>
    <w:p w14:paraId="42F1EB52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55DD6F12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2AFAEDEA" w14:textId="2082D0D2" w:rsidR="006177DE" w:rsidRPr="0067115C" w:rsidRDefault="0067115C" w:rsidP="00CE6DB2">
      <w:pPr>
        <w:pStyle w:val="Ttulo1"/>
        <w:tabs>
          <w:tab w:val="left" w:pos="358"/>
        </w:tabs>
        <w:spacing w:line="360" w:lineRule="auto"/>
        <w:ind w:left="0" w:firstLine="357"/>
        <w:rPr>
          <w:b w:val="0"/>
          <w:bCs w:val="0"/>
        </w:rPr>
      </w:pPr>
      <w:r w:rsidRPr="0067115C">
        <w:rPr>
          <w:b w:val="0"/>
          <w:bCs w:val="0"/>
        </w:rPr>
        <w:t>Agradecemos ao apoio financeiro da Universidade Federal do Norte do Tocantins</w:t>
      </w:r>
      <w:r>
        <w:rPr>
          <w:b w:val="0"/>
          <w:bCs w:val="0"/>
        </w:rPr>
        <w:t xml:space="preserve"> – projeto Alvorecer</w:t>
      </w:r>
    </w:p>
    <w:p w14:paraId="6B73CBD2" w14:textId="77777777" w:rsidR="006177DE" w:rsidRDefault="006177DE">
      <w:pPr>
        <w:pStyle w:val="Ttulo1"/>
        <w:tabs>
          <w:tab w:val="left" w:pos="358"/>
        </w:tabs>
        <w:spacing w:line="360" w:lineRule="auto"/>
        <w:ind w:left="0"/>
      </w:pPr>
    </w:p>
    <w:p w14:paraId="618AC96B" w14:textId="45A629B2" w:rsidR="006177DE" w:rsidRDefault="00A6025C" w:rsidP="006711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567" w:hanging="238"/>
        <w:jc w:val="both"/>
      </w:pPr>
      <w:r>
        <w:t xml:space="preserve">REFERÊNCIAS </w:t>
      </w:r>
    </w:p>
    <w:p w14:paraId="00545502" w14:textId="7DA4F675" w:rsidR="00A7750F" w:rsidRPr="00A7750F" w:rsidRDefault="00A7750F" w:rsidP="00A7750F">
      <w:pPr>
        <w:spacing w:after="240"/>
        <w:rPr>
          <w:bCs/>
          <w:color w:val="000000" w:themeColor="text1"/>
          <w:sz w:val="24"/>
          <w:szCs w:val="24"/>
        </w:rPr>
      </w:pPr>
      <w:r w:rsidRPr="00A7750F">
        <w:rPr>
          <w:bCs/>
          <w:color w:val="000000" w:themeColor="text1"/>
          <w:sz w:val="24"/>
          <w:szCs w:val="24"/>
        </w:rPr>
        <w:t>LIMA, R. N.; MARTINS, I. A. A Astronomia no currículo escolar: um olhar sobre o ensino fundamental. Revista Brasileira de Pesquisa em Educação em Ciências, v. 17, n. 2, p. 347-365, 2017.</w:t>
      </w:r>
    </w:p>
    <w:p w14:paraId="4C6ACDA3" w14:textId="7739636F" w:rsidR="00A7750F" w:rsidRPr="00A7750F" w:rsidRDefault="00A7750F" w:rsidP="00A7750F">
      <w:pPr>
        <w:spacing w:after="240"/>
        <w:rPr>
          <w:bCs/>
          <w:color w:val="000000" w:themeColor="text1"/>
          <w:sz w:val="24"/>
          <w:szCs w:val="24"/>
        </w:rPr>
      </w:pPr>
      <w:r w:rsidRPr="00A7750F">
        <w:rPr>
          <w:bCs/>
          <w:color w:val="000000" w:themeColor="text1"/>
          <w:sz w:val="24"/>
          <w:szCs w:val="24"/>
        </w:rPr>
        <w:t>OLIVEIRA, M. A. Dificuldades no ensino de Astronomia: um estudo com professores do ensino fundamental. Caderno Brasileiro de Ensino de Física, v. 36, n. 1, p. 28-47, 2019.</w:t>
      </w:r>
    </w:p>
    <w:p w14:paraId="48AFBC9F" w14:textId="2E2B6EDA" w:rsidR="00A7750F" w:rsidRPr="00A7750F" w:rsidRDefault="00A7750F" w:rsidP="00A7750F">
      <w:pPr>
        <w:spacing w:after="240"/>
        <w:rPr>
          <w:bCs/>
          <w:color w:val="000000" w:themeColor="text1"/>
          <w:sz w:val="24"/>
          <w:szCs w:val="24"/>
        </w:rPr>
      </w:pPr>
      <w:r w:rsidRPr="00A7750F">
        <w:rPr>
          <w:bCs/>
          <w:color w:val="000000" w:themeColor="text1"/>
          <w:sz w:val="24"/>
          <w:szCs w:val="24"/>
        </w:rPr>
        <w:t>SANTOS, F. M.; SILVA, C. M. Ensino de Astronomia e formação de professores: desafios e possibilidades. Revista Ciência &amp; Educação, v. 24, n. 2, p. 389-408, 2018.</w:t>
      </w:r>
    </w:p>
    <w:p w14:paraId="59012720" w14:textId="46810DF0" w:rsidR="006177DE" w:rsidRPr="0067115C" w:rsidRDefault="00A7750F" w:rsidP="0067115C">
      <w:pPr>
        <w:spacing w:after="240"/>
        <w:rPr>
          <w:bCs/>
          <w:color w:val="000000" w:themeColor="text1"/>
          <w:sz w:val="24"/>
          <w:szCs w:val="24"/>
        </w:rPr>
      </w:pPr>
      <w:r w:rsidRPr="00A7750F">
        <w:rPr>
          <w:bCs/>
          <w:color w:val="000000" w:themeColor="text1"/>
          <w:sz w:val="24"/>
          <w:szCs w:val="24"/>
        </w:rPr>
        <w:t>SOARES, A. C.; OLIVEIRA, J. F.; MOURA, A. A. Formação de professores para o ensino de Astronomia: um estudo de caso. Revista Brasileira de Ensino de Ciência e Tecnologia, v. 13, n. 1, p. 134-149, 2020.</w:t>
      </w:r>
    </w:p>
    <w:sectPr w:rsidR="006177DE" w:rsidRPr="0067115C">
      <w:headerReference w:type="default" r:id="rId15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22FB" w14:textId="77777777" w:rsidR="00BD1961" w:rsidRDefault="00BD1961">
      <w:r>
        <w:separator/>
      </w:r>
    </w:p>
  </w:endnote>
  <w:endnote w:type="continuationSeparator" w:id="0">
    <w:p w14:paraId="01431925" w14:textId="77777777" w:rsidR="00BD1961" w:rsidRDefault="00BD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E88B" w14:textId="77777777" w:rsidR="00BD1961" w:rsidRDefault="00BD1961">
      <w:r>
        <w:separator/>
      </w:r>
    </w:p>
  </w:footnote>
  <w:footnote w:type="continuationSeparator" w:id="0">
    <w:p w14:paraId="3BBE4E00" w14:textId="77777777" w:rsidR="00BD1961" w:rsidRDefault="00BD1961">
      <w:r>
        <w:continuationSeparator/>
      </w:r>
    </w:p>
  </w:footnote>
  <w:footnote w:id="1">
    <w:p w14:paraId="726592B1" w14:textId="30C3AD0E" w:rsidR="00162E7F" w:rsidRPr="00162E7F" w:rsidRDefault="00162E7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32435E">
          <w:rPr>
            <w:rStyle w:val="Hyperlink"/>
          </w:rPr>
          <w:t>https://astrofisica.ufsc.br/equipe/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abstractNum w:abstractNumId="1" w15:restartNumberingAfterBreak="0">
    <w:nsid w:val="46E63115"/>
    <w:multiLevelType w:val="multilevel"/>
    <w:tmpl w:val="781C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879">
    <w:abstractNumId w:val="0"/>
  </w:num>
  <w:num w:numId="2" w16cid:durableId="202578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27CD5"/>
    <w:rsid w:val="0004562B"/>
    <w:rsid w:val="00085CD0"/>
    <w:rsid w:val="001049D6"/>
    <w:rsid w:val="00162E7F"/>
    <w:rsid w:val="002E2A4E"/>
    <w:rsid w:val="00397720"/>
    <w:rsid w:val="004346E4"/>
    <w:rsid w:val="00446992"/>
    <w:rsid w:val="004531BC"/>
    <w:rsid w:val="00487061"/>
    <w:rsid w:val="00536835"/>
    <w:rsid w:val="005A4558"/>
    <w:rsid w:val="006177DE"/>
    <w:rsid w:val="00667CCB"/>
    <w:rsid w:val="00670F88"/>
    <w:rsid w:val="0067115C"/>
    <w:rsid w:val="00684373"/>
    <w:rsid w:val="006C5A2E"/>
    <w:rsid w:val="006F7F29"/>
    <w:rsid w:val="007311F7"/>
    <w:rsid w:val="00785F98"/>
    <w:rsid w:val="00825BD5"/>
    <w:rsid w:val="00843DAA"/>
    <w:rsid w:val="008E08B4"/>
    <w:rsid w:val="00920C40"/>
    <w:rsid w:val="00965A44"/>
    <w:rsid w:val="00A14B12"/>
    <w:rsid w:val="00A25017"/>
    <w:rsid w:val="00A3330C"/>
    <w:rsid w:val="00A6025C"/>
    <w:rsid w:val="00A64D9D"/>
    <w:rsid w:val="00A72EE2"/>
    <w:rsid w:val="00A7750F"/>
    <w:rsid w:val="00BD1961"/>
    <w:rsid w:val="00C40AF2"/>
    <w:rsid w:val="00C57987"/>
    <w:rsid w:val="00CE6DB2"/>
    <w:rsid w:val="00D108A6"/>
    <w:rsid w:val="00D64C32"/>
    <w:rsid w:val="00DA31A0"/>
    <w:rsid w:val="00DB3F5C"/>
    <w:rsid w:val="00E116F4"/>
    <w:rsid w:val="00E4121C"/>
    <w:rsid w:val="00EA3E2D"/>
    <w:rsid w:val="00EA590D"/>
    <w:rsid w:val="00EF3945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2E7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2E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62E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62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2E7F"/>
    <w:rPr>
      <w:color w:val="605E5C"/>
      <w:shd w:val="clear" w:color="auto" w:fill="E1DFDD"/>
    </w:rPr>
  </w:style>
  <w:style w:type="paragraph" w:customStyle="1" w:styleId="p1">
    <w:name w:val="p1"/>
    <w:basedOn w:val="Normal"/>
    <w:rsid w:val="00162E7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s1">
    <w:name w:val="s1"/>
    <w:basedOn w:val="Fontepargpadro"/>
    <w:rsid w:val="0016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is.cunha@ufnt.edu.b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hais.ritielly@ufnt.edu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scilak.nascente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fs883897@gmail.com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fabio.rodrigues@ufnt.edu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trofisica.ufsc.br/equi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B3FA4B-B8AD-8345-A9A2-2F425846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1890</Words>
  <Characters>10211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Prof. Fábio M. Rodrigues</cp:lastModifiedBy>
  <cp:revision>12</cp:revision>
  <dcterms:created xsi:type="dcterms:W3CDTF">2025-09-24T13:48:00Z</dcterms:created>
  <dcterms:modified xsi:type="dcterms:W3CDTF">2025-10-13T14:09:00Z</dcterms:modified>
</cp:coreProperties>
</file>