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C10B" w14:textId="77777777" w:rsidR="000D2F82" w:rsidRDefault="00946D66">
      <w:pPr>
        <w:pStyle w:val="Corpodetexto"/>
        <w:ind w:left="1478"/>
        <w:rPr>
          <w:sz w:val="20"/>
        </w:rPr>
      </w:pPr>
      <w:r>
        <w:rPr>
          <w:noProof/>
          <w:sz w:val="20"/>
        </w:rPr>
        <w:drawing>
          <wp:inline distT="0" distB="0" distL="0" distR="0" wp14:anchorId="56A20C00" wp14:editId="21B3443A">
            <wp:extent cx="3518206" cy="1600200"/>
            <wp:effectExtent l="0" t="0" r="0" b="0"/>
            <wp:docPr id="1" name="Image 1" descr="Text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to  Descrição gerad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820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FA7A0" w14:textId="77777777" w:rsidR="000D2F82" w:rsidRDefault="000D2F82">
      <w:pPr>
        <w:pStyle w:val="Corpodetexto"/>
      </w:pPr>
    </w:p>
    <w:p w14:paraId="2F7E7CCB" w14:textId="77777777" w:rsidR="000D2F82" w:rsidRDefault="000D2F82" w:rsidP="00946D66">
      <w:pPr>
        <w:pStyle w:val="Corpodetexto"/>
        <w:spacing w:before="141" w:line="276" w:lineRule="auto"/>
      </w:pPr>
    </w:p>
    <w:p w14:paraId="22863F28" w14:textId="77777777" w:rsidR="000D2F82" w:rsidRDefault="00946D66" w:rsidP="00946D66">
      <w:pPr>
        <w:pStyle w:val="Ttulo1"/>
        <w:spacing w:before="1" w:line="276" w:lineRule="auto"/>
        <w:ind w:left="4" w:right="5"/>
        <w:jc w:val="center"/>
      </w:pPr>
      <w:r>
        <w:t>EFEITOS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CARÊNCIA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FERRO,</w:t>
      </w:r>
      <w:r>
        <w:rPr>
          <w:spacing w:val="-4"/>
        </w:rPr>
        <w:t xml:space="preserve"> </w:t>
      </w:r>
      <w:r>
        <w:t>ÁCIDO</w:t>
      </w:r>
      <w:r>
        <w:rPr>
          <w:spacing w:val="-4"/>
        </w:rPr>
        <w:t xml:space="preserve"> </w:t>
      </w:r>
      <w:r>
        <w:t>FÓLICO,</w:t>
      </w:r>
      <w:r>
        <w:rPr>
          <w:spacing w:val="-4"/>
        </w:rPr>
        <w:t xml:space="preserve"> </w:t>
      </w:r>
      <w:r>
        <w:t>VITAMINA</w:t>
      </w:r>
      <w:r>
        <w:rPr>
          <w:spacing w:val="-5"/>
        </w:rPr>
        <w:t xml:space="preserve"> </w:t>
      </w:r>
      <w:r>
        <w:t>B12, VITAMINA D E A SUPLEMENTAÇÃO DE CÁLCIO NO DESENVOLVIMENTO FETAL E NA SAÚDE MATERNA</w:t>
      </w:r>
    </w:p>
    <w:p w14:paraId="133198FB" w14:textId="77777777" w:rsidR="000D2F82" w:rsidRDefault="000D2F82" w:rsidP="00946D66">
      <w:pPr>
        <w:pStyle w:val="Corpodetexto"/>
        <w:spacing w:before="6" w:line="276" w:lineRule="auto"/>
        <w:rPr>
          <w:b/>
        </w:rPr>
      </w:pPr>
    </w:p>
    <w:p w14:paraId="70C6988B" w14:textId="77777777" w:rsidR="000D2F82" w:rsidRDefault="00946D66" w:rsidP="00946D66">
      <w:pPr>
        <w:pStyle w:val="Corpodetexto"/>
        <w:spacing w:line="276" w:lineRule="auto"/>
        <w:ind w:left="2" w:firstLine="60"/>
      </w:pPr>
      <w:r>
        <w:t>Gabrielly</w:t>
      </w:r>
      <w:r>
        <w:rPr>
          <w:spacing w:val="-4"/>
        </w:rPr>
        <w:t xml:space="preserve"> </w:t>
      </w:r>
      <w:r>
        <w:t>Rodrigues</w:t>
      </w:r>
      <w:r>
        <w:rPr>
          <w:spacing w:val="-4"/>
        </w:rPr>
        <w:t xml:space="preserve"> </w:t>
      </w:r>
      <w:r>
        <w:t>Felix;</w:t>
      </w:r>
      <w:r>
        <w:rPr>
          <w:spacing w:val="-4"/>
        </w:rPr>
        <w:t xml:space="preserve"> </w:t>
      </w:r>
      <w:r>
        <w:t>Brenda</w:t>
      </w:r>
      <w:r>
        <w:rPr>
          <w:spacing w:val="-5"/>
        </w:rPr>
        <w:t xml:space="preserve"> </w:t>
      </w:r>
      <w:r>
        <w:t>Rafaela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Lima</w:t>
      </w:r>
      <w:r>
        <w:rPr>
          <w:spacing w:val="-4"/>
        </w:rPr>
        <w:t xml:space="preserve"> </w:t>
      </w:r>
      <w:r>
        <w:t>Siqueira;</w:t>
      </w:r>
      <w:r>
        <w:rPr>
          <w:spacing w:val="-4"/>
        </w:rPr>
        <w:t xml:space="preserve"> </w:t>
      </w:r>
      <w:r>
        <w:t>Gabriel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Silva</w:t>
      </w:r>
      <w:r>
        <w:rPr>
          <w:spacing w:val="-5"/>
        </w:rPr>
        <w:t xml:space="preserve"> </w:t>
      </w:r>
      <w:r>
        <w:t xml:space="preserve">Pereira; Giovanna </w:t>
      </w:r>
      <w:r>
        <w:t>Oliveira Feitosa; Joislane Kamanda Ramalho Araújo; Emeline Trindade de Araújo Vasconcelos Aires</w:t>
      </w:r>
    </w:p>
    <w:p w14:paraId="0DD6F1A7" w14:textId="77777777" w:rsidR="000D2F82" w:rsidRDefault="000D2F82" w:rsidP="00946D66">
      <w:pPr>
        <w:pStyle w:val="Corpodetexto"/>
        <w:spacing w:before="4" w:line="276" w:lineRule="auto"/>
      </w:pPr>
    </w:p>
    <w:p w14:paraId="0A014F8A" w14:textId="77777777" w:rsidR="000D2F82" w:rsidRDefault="00946D66" w:rsidP="00946D66">
      <w:pPr>
        <w:pStyle w:val="Corpodetexto"/>
        <w:spacing w:line="276" w:lineRule="auto"/>
        <w:ind w:left="4" w:right="384"/>
        <w:jc w:val="center"/>
      </w:pPr>
      <w:hyperlink r:id="rId5">
        <w:r>
          <w:rPr>
            <w:color w:val="0462C1"/>
            <w:spacing w:val="-2"/>
            <w:u w:val="single" w:color="0462C1"/>
          </w:rPr>
          <w:t>gabriellyfelix@nutri.fiponline.edu.br</w:t>
        </w:r>
      </w:hyperlink>
    </w:p>
    <w:p w14:paraId="6F5519A0" w14:textId="77777777" w:rsidR="000D2F82" w:rsidRDefault="000D2F82" w:rsidP="00946D66">
      <w:pPr>
        <w:pStyle w:val="Corpodetexto"/>
        <w:spacing w:before="142" w:line="276" w:lineRule="auto"/>
      </w:pPr>
    </w:p>
    <w:p w14:paraId="6BF3ADAB" w14:textId="35EFC60C" w:rsidR="000D2F82" w:rsidRDefault="00946D66" w:rsidP="00946D66">
      <w:pPr>
        <w:pStyle w:val="Corpodetexto"/>
        <w:spacing w:line="276" w:lineRule="auto"/>
        <w:ind w:left="841"/>
        <w:rPr>
          <w:spacing w:val="-2"/>
        </w:rPr>
      </w:pPr>
      <w:r>
        <w:t>Centro</w:t>
      </w:r>
      <w:r>
        <w:rPr>
          <w:spacing w:val="-2"/>
        </w:rPr>
        <w:t xml:space="preserve"> </w:t>
      </w:r>
      <w:r>
        <w:t>Universitário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Patos-UNIFIP,</w:t>
      </w:r>
      <w:r>
        <w:rPr>
          <w:spacing w:val="-2"/>
        </w:rPr>
        <w:t xml:space="preserve"> </w:t>
      </w:r>
      <w:r>
        <w:t>Patos,</w:t>
      </w:r>
      <w:r>
        <w:rPr>
          <w:spacing w:val="-1"/>
        </w:rPr>
        <w:t xml:space="preserve"> </w:t>
      </w:r>
      <w:r>
        <w:t>Paraíba,</w:t>
      </w:r>
      <w:r>
        <w:rPr>
          <w:spacing w:val="-1"/>
        </w:rPr>
        <w:t xml:space="preserve"> </w:t>
      </w:r>
      <w:r>
        <w:rPr>
          <w:spacing w:val="-2"/>
        </w:rPr>
        <w:t>Br</w:t>
      </w:r>
      <w:r>
        <w:rPr>
          <w:spacing w:val="-2"/>
        </w:rPr>
        <w:t>asil.</w:t>
      </w:r>
    </w:p>
    <w:p w14:paraId="311FC0DE" w14:textId="77777777" w:rsidR="00411B75" w:rsidRDefault="00411B75" w:rsidP="00946D66">
      <w:pPr>
        <w:pStyle w:val="Corpodetexto"/>
        <w:spacing w:line="276" w:lineRule="auto"/>
        <w:ind w:left="841"/>
      </w:pPr>
    </w:p>
    <w:p w14:paraId="7E5A6C5B" w14:textId="77777777" w:rsidR="000D2F82" w:rsidRDefault="000D2F82" w:rsidP="00946D66">
      <w:pPr>
        <w:pStyle w:val="Corpodetexto"/>
        <w:spacing w:before="7" w:line="276" w:lineRule="auto"/>
      </w:pPr>
    </w:p>
    <w:p w14:paraId="0220F2E0" w14:textId="2D96C3B8" w:rsidR="000D2F82" w:rsidRDefault="00946D66" w:rsidP="00946D66">
      <w:pPr>
        <w:pStyle w:val="Corpodetexto"/>
        <w:spacing w:before="1" w:line="276" w:lineRule="auto"/>
        <w:ind w:left="2" w:right="10"/>
        <w:jc w:val="both"/>
      </w:pPr>
      <w:bookmarkStart w:id="0" w:name="_Hlk206669658"/>
      <w:bookmarkStart w:id="1" w:name="_Hlk206670032"/>
      <w:r>
        <w:rPr>
          <w:b/>
        </w:rPr>
        <w:t xml:space="preserve">Introdução: </w:t>
      </w:r>
      <w:r>
        <w:t xml:space="preserve">A gestação é marcada por intensas mudanças fisiológicas e aumento da demanda nutricional, sendo essenciais </w:t>
      </w:r>
      <w:r w:rsidR="008B301A">
        <w:t xml:space="preserve">consumo e suplementação de </w:t>
      </w:r>
      <w:r>
        <w:t>micronutrientes</w:t>
      </w:r>
      <w:r w:rsidR="008B301A">
        <w:t xml:space="preserve">. </w:t>
      </w:r>
      <w:r>
        <w:t xml:space="preserve">A deficiência desses nutrientes está associada a desfechos adversos maternos e </w:t>
      </w:r>
      <w:r>
        <w:t>fetais. A anemia ferropriva aumenta o risco de parto prematuro, baixo peso ao nascer e mortalidade materno-infantil (Benson et al., 2022)</w:t>
      </w:r>
      <w:r w:rsidR="004478E0">
        <w:t xml:space="preserve">, enquanto a anemia megaloblástica, causada pela carência de ácido fólico e vitamina B12, é a segunda forma mais frequente de anemia em gestantes (Ferreira et al., 2020). </w:t>
      </w:r>
      <w:r>
        <w:t xml:space="preserve">A insuficiência de vitamina D </w:t>
      </w:r>
      <w:r w:rsidR="008B301A">
        <w:t xml:space="preserve">está </w:t>
      </w:r>
      <w:r>
        <w:t>associada a complicações como diabetes gestacional e baixo peso ao nascer (Mansur et al., 2022). Além disso, o Ministério da Saúde recomenda a suplementação universal de</w:t>
      </w:r>
      <w:r>
        <w:t xml:space="preserve"> cálcio (1000 mg/dia) a partir da 12ª semana de gestação como estratégia para prevenir pré- eclâmpsia e reduzir a mortalidade materna</w:t>
      </w:r>
      <w:r w:rsidR="004478E0">
        <w:t xml:space="preserve"> </w:t>
      </w:r>
      <w:r>
        <w:t>(</w:t>
      </w:r>
      <w:r w:rsidR="009F2C78">
        <w:t xml:space="preserve">Brasil, </w:t>
      </w:r>
      <w:r>
        <w:t xml:space="preserve">2024). </w:t>
      </w:r>
      <w:r>
        <w:rPr>
          <w:b/>
        </w:rPr>
        <w:t xml:space="preserve">Objetivo: </w:t>
      </w:r>
      <w:r>
        <w:t>Analisar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principais</w:t>
      </w:r>
      <w:r>
        <w:rPr>
          <w:spacing w:val="-3"/>
        </w:rPr>
        <w:t xml:space="preserve"> </w:t>
      </w:r>
      <w:r>
        <w:t>impactos</w:t>
      </w:r>
      <w:r>
        <w:rPr>
          <w:spacing w:val="-3"/>
        </w:rPr>
        <w:t xml:space="preserve"> </w:t>
      </w:r>
      <w:r>
        <w:t>da</w:t>
      </w:r>
      <w:r w:rsidR="004478E0">
        <w:t>s</w:t>
      </w:r>
      <w:r>
        <w:rPr>
          <w:spacing w:val="-3"/>
        </w:rPr>
        <w:t xml:space="preserve"> </w:t>
      </w:r>
      <w:r>
        <w:t>deficiência</w:t>
      </w:r>
      <w:r w:rsidR="004478E0">
        <w:t>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4478E0">
        <w:t>micronutrientes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a gestação, discutin</w:t>
      </w:r>
      <w:r>
        <w:t>do suas repercussões materno-fetais e medidas preventivas, além de abordar as recomendações atuais sobre a suplementação de cálcio como estratégia para</w:t>
      </w:r>
      <w:r>
        <w:rPr>
          <w:spacing w:val="40"/>
        </w:rPr>
        <w:t xml:space="preserve"> </w:t>
      </w:r>
      <w:r>
        <w:t xml:space="preserve">a prevenção da pré-eclâmpsia e demais complicações hipertensivas. </w:t>
      </w:r>
      <w:r>
        <w:rPr>
          <w:b/>
        </w:rPr>
        <w:t xml:space="preserve">Materiais e Métodos: </w:t>
      </w:r>
      <w:r>
        <w:t>Trata-se de uma r</w:t>
      </w:r>
      <w:r>
        <w:t xml:space="preserve">evisão bibliográfica </w:t>
      </w:r>
      <w:r w:rsidR="008966A3">
        <w:t>que elencou artigos publicados entre</w:t>
      </w:r>
      <w:r>
        <w:t xml:space="preserve"> 2020 e 2024, com buscas nas bases </w:t>
      </w:r>
      <w:r w:rsidR="008966A3">
        <w:t xml:space="preserve">de dados </w:t>
      </w:r>
      <w:r>
        <w:t>SciELO, PubMed e Diretório google acadêmico. Utilizaram-se os</w:t>
      </w:r>
      <w:r w:rsidR="008966A3">
        <w:t xml:space="preserve"> </w:t>
      </w:r>
      <w:r>
        <w:t>descritores em português: “Deficiência de ferro”, “Anemia gestacional”, “Vitamina D”, “Vitami</w:t>
      </w:r>
      <w:r>
        <w:t>na B9”.</w:t>
      </w:r>
      <w:r>
        <w:rPr>
          <w:spacing w:val="40"/>
        </w:rPr>
        <w:t xml:space="preserve"> </w:t>
      </w:r>
      <w:r>
        <w:t>Inglês: “Iron deficiency”, “vitamin deficiency during pregnancy”, “Calcium supplementation”.</w:t>
      </w:r>
      <w:r>
        <w:t xml:space="preserve"> Foram incluídos </w:t>
      </w:r>
      <w:r w:rsidR="008966A3">
        <w:t xml:space="preserve">na pesquisa </w:t>
      </w:r>
      <w:r>
        <w:t>artigos originais, revisões sistemáticas e meta-análises que abordassem a relação entre deficiências nutricionais e gestação</w:t>
      </w:r>
      <w:r w:rsidR="008966A3">
        <w:t xml:space="preserve">. O estudo analisou o total de </w:t>
      </w:r>
      <w:r>
        <w:t xml:space="preserve">7 artigos. </w:t>
      </w:r>
      <w:r>
        <w:rPr>
          <w:b/>
        </w:rPr>
        <w:t xml:space="preserve">Resultados e Discussão: </w:t>
      </w:r>
      <w:r>
        <w:t>A análise demonstrou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gestação</w:t>
      </w:r>
      <w:r>
        <w:rPr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fator</w:t>
      </w:r>
      <w:r>
        <w:rPr>
          <w:spacing w:val="-3"/>
        </w:rPr>
        <w:t xml:space="preserve"> </w:t>
      </w:r>
      <w:r>
        <w:t>predisponente</w:t>
      </w:r>
      <w:r>
        <w:rPr>
          <w:spacing w:val="-3"/>
        </w:rPr>
        <w:t xml:space="preserve"> </w:t>
      </w:r>
      <w:r>
        <w:t>para a</w:t>
      </w:r>
      <w:r>
        <w:rPr>
          <w:spacing w:val="-4"/>
        </w:rPr>
        <w:t xml:space="preserve"> </w:t>
      </w:r>
      <w:r>
        <w:t>anemia</w:t>
      </w:r>
      <w:r>
        <w:rPr>
          <w:spacing w:val="-2"/>
        </w:rPr>
        <w:t xml:space="preserve"> </w:t>
      </w:r>
      <w:r>
        <w:t>ferropriva,</w:t>
      </w:r>
      <w:r>
        <w:rPr>
          <w:spacing w:val="-3"/>
        </w:rPr>
        <w:t xml:space="preserve"> </w:t>
      </w:r>
      <w:r>
        <w:t>devido</w:t>
      </w:r>
      <w:r>
        <w:rPr>
          <w:spacing w:val="-3"/>
        </w:rPr>
        <w:t xml:space="preserve"> </w:t>
      </w:r>
      <w:r>
        <w:t>às alterações fisiológicas do organismo materno (Galdino et al., 2023). A deficiência de vitamin</w:t>
      </w:r>
      <w:r>
        <w:t xml:space="preserve">a D é prevalente </w:t>
      </w:r>
      <w:r>
        <w:lastRenderedPageBreak/>
        <w:t xml:space="preserve">e relaciona-se a complicações como pré-eclâmpsia, parto prematuro e baixa massa óssea neonatal, sendo a suplementação eficaz para reduzir esses riscos (Mansur et </w:t>
      </w:r>
      <w:bookmarkEnd w:id="1"/>
      <w:r>
        <w:t xml:space="preserve">al., 2022). </w:t>
      </w:r>
      <w:r w:rsidR="009F2C78">
        <w:t>O folato é</w:t>
      </w:r>
      <w:r>
        <w:t xml:space="preserve"> essenci</w:t>
      </w:r>
      <w:r w:rsidR="009F2C78">
        <w:t>al</w:t>
      </w:r>
      <w:r>
        <w:t xml:space="preserve"> na prevenção de defeitos do tubo neural, jus</w:t>
      </w:r>
      <w:r>
        <w:t xml:space="preserve">tificando a fortificação de alimentos e a suplementação pré-concepção. Já a deficiência de vitamina B12, crescente em populações com dietas restritivas em produtos de origem animal, pode causar anemia megaloblástica (Ferreira et al., 2020). </w:t>
      </w:r>
      <w:r w:rsidR="009F2C78">
        <w:t>Estudos evidenciaram</w:t>
      </w:r>
      <w:r>
        <w:t xml:space="preserve"> que a suplementação de cálcio reduziu a incidência de pré- eclâmpsia</w:t>
      </w:r>
      <w:r>
        <w:rPr>
          <w:spacing w:val="-2"/>
        </w:rPr>
        <w:t xml:space="preserve"> </w:t>
      </w:r>
      <w:r>
        <w:t>e complicações</w:t>
      </w:r>
      <w:r>
        <w:rPr>
          <w:spacing w:val="-1"/>
        </w:rPr>
        <w:t xml:space="preserve"> </w:t>
      </w:r>
      <w:r>
        <w:t>hipertensivas,</w:t>
      </w:r>
      <w:r>
        <w:rPr>
          <w:spacing w:val="-1"/>
        </w:rPr>
        <w:t xml:space="preserve"> </w:t>
      </w:r>
      <w:r>
        <w:t>melhorando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desfechos</w:t>
      </w:r>
      <w:r>
        <w:rPr>
          <w:spacing w:val="-1"/>
        </w:rPr>
        <w:t xml:space="preserve"> </w:t>
      </w:r>
      <w:r>
        <w:t>maternos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perinatais</w:t>
      </w:r>
      <w:r w:rsidR="009F2C78">
        <w:t>, além de sugerir benefícios a longo prazo para a saúde.</w:t>
      </w:r>
      <w:r>
        <w:t xml:space="preserve"> (Zamba et al. 2024</w:t>
      </w:r>
      <w:r w:rsidR="009F2C78">
        <w:t>; Korhonen et al. 2022</w:t>
      </w:r>
      <w:r>
        <w:t>).</w:t>
      </w:r>
      <w:r>
        <w:t xml:space="preserve"> </w:t>
      </w:r>
      <w:r>
        <w:rPr>
          <w:b/>
        </w:rPr>
        <w:t xml:space="preserve">Conclusão: </w:t>
      </w:r>
      <w:r>
        <w:t>A deficiência de ferro, vitaminas D, B9 e B12 durante a gestação representam riscos importantes para a mãe, como anemia, fadiga, alterações imunológicas e complicações no parto, além de aumentar o risco de parto prematuro, defeitos do tubo neur</w:t>
      </w:r>
      <w:r>
        <w:t>al e prejuízos no desenvolvimento neurológico do feto. Assim, o acompanhamento nutricional e a suplementação são essenciais para</w:t>
      </w:r>
      <w:r>
        <w:rPr>
          <w:spacing w:val="-2"/>
        </w:rPr>
        <w:t xml:space="preserve"> </w:t>
      </w:r>
      <w:r>
        <w:t>manter</w:t>
      </w:r>
      <w:r>
        <w:rPr>
          <w:spacing w:val="-2"/>
        </w:rPr>
        <w:t xml:space="preserve"> </w:t>
      </w:r>
      <w:r>
        <w:t>reservas adequadas. 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complementar, a suplementação de cálcio, recomendada pelo Ministério da Saúde, mostra eficá</w:t>
      </w:r>
      <w:r>
        <w:t>cia na prevenção da pré-eclâmpsia, reforçando a necessidade de estratégias preventivas que assegurem saúde e bem-estar maternos.</w:t>
      </w:r>
    </w:p>
    <w:p w14:paraId="45121FDD" w14:textId="77777777" w:rsidR="000D2F82" w:rsidRDefault="000D2F82" w:rsidP="00946D66">
      <w:pPr>
        <w:pStyle w:val="Corpodetexto"/>
        <w:spacing w:before="7" w:line="276" w:lineRule="auto"/>
      </w:pPr>
    </w:p>
    <w:p w14:paraId="635D4CBC" w14:textId="77777777" w:rsidR="000D2F82" w:rsidRDefault="00946D66" w:rsidP="00946D66">
      <w:pPr>
        <w:pStyle w:val="Ttulo1"/>
        <w:spacing w:line="276" w:lineRule="auto"/>
      </w:pPr>
      <w:r>
        <w:rPr>
          <w:spacing w:val="-2"/>
        </w:rPr>
        <w:t>Referências</w:t>
      </w:r>
    </w:p>
    <w:p w14:paraId="0D55A4E9" w14:textId="77777777" w:rsidR="000D2F82" w:rsidRDefault="000D2F82" w:rsidP="00946D66">
      <w:pPr>
        <w:pStyle w:val="Corpodetexto"/>
        <w:spacing w:before="142" w:line="276" w:lineRule="auto"/>
        <w:rPr>
          <w:b/>
        </w:rPr>
      </w:pPr>
    </w:p>
    <w:p w14:paraId="29A4459A" w14:textId="77777777" w:rsidR="000D2F82" w:rsidRDefault="00946D66" w:rsidP="00946D66">
      <w:pPr>
        <w:pStyle w:val="Corpodetexto"/>
        <w:spacing w:line="276" w:lineRule="auto"/>
        <w:ind w:left="721" w:right="10"/>
      </w:pPr>
      <w:r>
        <w:t>BENSON,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incidence,</w:t>
      </w:r>
      <w:r>
        <w:rPr>
          <w:spacing w:val="-2"/>
        </w:rPr>
        <w:t xml:space="preserve"> </w:t>
      </w:r>
      <w:r>
        <w:t>complications,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iron</w:t>
      </w:r>
      <w:r>
        <w:rPr>
          <w:spacing w:val="-4"/>
        </w:rPr>
        <w:t xml:space="preserve"> </w:t>
      </w:r>
      <w:r>
        <w:t xml:space="preserve">deficiency in pregnancy. </w:t>
      </w:r>
      <w:r>
        <w:rPr>
          <w:b/>
        </w:rPr>
        <w:t>European Journal of Haematology</w:t>
      </w:r>
      <w:r>
        <w:t xml:space="preserve">, v. 109, n. 6, p. 633-642, </w:t>
      </w:r>
      <w:r>
        <w:rPr>
          <w:spacing w:val="-2"/>
        </w:rPr>
        <w:t>2022.</w:t>
      </w:r>
    </w:p>
    <w:p w14:paraId="1E0EFF50" w14:textId="77777777" w:rsidR="000D2F82" w:rsidRDefault="000D2F82" w:rsidP="00946D66">
      <w:pPr>
        <w:pStyle w:val="Corpodetexto"/>
        <w:spacing w:before="4" w:line="276" w:lineRule="auto"/>
      </w:pPr>
    </w:p>
    <w:p w14:paraId="406555C9" w14:textId="77777777" w:rsidR="000D2F82" w:rsidRDefault="00946D66" w:rsidP="00946D66">
      <w:pPr>
        <w:spacing w:line="276" w:lineRule="auto"/>
        <w:ind w:left="721"/>
        <w:rPr>
          <w:sz w:val="24"/>
        </w:rPr>
      </w:pPr>
      <w:r>
        <w:rPr>
          <w:sz w:val="24"/>
        </w:rPr>
        <w:t>FERREIRA, T. B. et al. Carência de vitamina B9 e B12 na gravidez: anemia megaloblástica.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VI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Seminário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Científico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UNIFACIG;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Jornada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Iniciação </w:t>
      </w:r>
      <w:r>
        <w:rPr>
          <w:i/>
          <w:sz w:val="24"/>
        </w:rPr>
        <w:t>Científica do UNIFACIG</w:t>
      </w:r>
      <w:r>
        <w:rPr>
          <w:sz w:val="24"/>
        </w:rPr>
        <w:t>, Manhuaçu, 2020.</w:t>
      </w:r>
    </w:p>
    <w:p w14:paraId="0A98E2EE" w14:textId="77777777" w:rsidR="000D2F82" w:rsidRDefault="000D2F82" w:rsidP="00946D66">
      <w:pPr>
        <w:pStyle w:val="Corpodetexto"/>
        <w:spacing w:before="4" w:line="276" w:lineRule="auto"/>
      </w:pPr>
    </w:p>
    <w:p w14:paraId="26466EF2" w14:textId="77777777" w:rsidR="000D2F82" w:rsidRDefault="00946D66" w:rsidP="00946D66">
      <w:pPr>
        <w:spacing w:line="276" w:lineRule="auto"/>
        <w:ind w:left="721" w:right="288"/>
        <w:jc w:val="both"/>
        <w:rPr>
          <w:sz w:val="24"/>
        </w:rPr>
      </w:pPr>
      <w:r>
        <w:rPr>
          <w:sz w:val="24"/>
        </w:rPr>
        <w:t>GALDINO, R. G. S. L. G; SILVA, J. D. Anemia ferropriva na gestação: uma revisão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literatura.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Revista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Multidisciplinar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Sertão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v.</w:t>
      </w:r>
      <w:r>
        <w:rPr>
          <w:spacing w:val="-3"/>
          <w:sz w:val="24"/>
        </w:rPr>
        <w:t xml:space="preserve"> </w:t>
      </w:r>
      <w:r>
        <w:rPr>
          <w:sz w:val="24"/>
        </w:rPr>
        <w:t>5,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64-72, </w:t>
      </w:r>
      <w:r>
        <w:rPr>
          <w:spacing w:val="-2"/>
          <w:sz w:val="24"/>
        </w:rPr>
        <w:t>2023.</w:t>
      </w:r>
    </w:p>
    <w:p w14:paraId="771B1360" w14:textId="77777777" w:rsidR="000D2F82" w:rsidRDefault="000D2F82" w:rsidP="00946D66">
      <w:pPr>
        <w:pStyle w:val="Corpodetexto"/>
        <w:spacing w:before="3" w:line="276" w:lineRule="auto"/>
      </w:pPr>
    </w:p>
    <w:p w14:paraId="64C3456E" w14:textId="77777777" w:rsidR="000D2F82" w:rsidRDefault="00946D66" w:rsidP="00946D66">
      <w:pPr>
        <w:pStyle w:val="Corpodetexto"/>
        <w:spacing w:before="1" w:line="276" w:lineRule="auto"/>
        <w:ind w:left="721" w:right="64"/>
      </w:pPr>
      <w:r>
        <w:t>MACEDO, T. S. G. Prevalência de deficiências das vitami</w:t>
      </w:r>
      <w:r>
        <w:t>nas do complexo B em</w:t>
      </w:r>
      <w:r>
        <w:rPr>
          <w:spacing w:val="-4"/>
        </w:rPr>
        <w:t xml:space="preserve"> </w:t>
      </w:r>
      <w:r>
        <w:t>mulheres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idade</w:t>
      </w:r>
      <w:r>
        <w:rPr>
          <w:spacing w:val="-5"/>
        </w:rPr>
        <w:t xml:space="preserve"> </w:t>
      </w:r>
      <w:r>
        <w:t>fértil,</w:t>
      </w:r>
      <w:r>
        <w:rPr>
          <w:spacing w:val="-4"/>
        </w:rPr>
        <w:t xml:space="preserve"> </w:t>
      </w:r>
      <w:r>
        <w:t>gestantes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lactantes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Brasil:</w:t>
      </w:r>
      <w:r>
        <w:rPr>
          <w:spacing w:val="-4"/>
        </w:rPr>
        <w:t xml:space="preserve"> </w:t>
      </w:r>
      <w:r>
        <w:t>revisão</w:t>
      </w:r>
      <w:r>
        <w:rPr>
          <w:spacing w:val="-4"/>
        </w:rPr>
        <w:t xml:space="preserve"> </w:t>
      </w:r>
      <w:r>
        <w:t>sistemática</w:t>
      </w:r>
    </w:p>
    <w:bookmarkEnd w:id="0"/>
    <w:p w14:paraId="324B7B08" w14:textId="77777777" w:rsidR="000D2F82" w:rsidRDefault="000D2F82" w:rsidP="00946D66">
      <w:pPr>
        <w:pStyle w:val="Corpodetexto"/>
        <w:spacing w:line="276" w:lineRule="auto"/>
        <w:sectPr w:rsidR="000D2F82" w:rsidSect="00946D66">
          <w:pgSz w:w="11910" w:h="16840"/>
          <w:pgMar w:top="1134" w:right="1134" w:bottom="1134" w:left="1418" w:header="720" w:footer="720" w:gutter="0"/>
          <w:cols w:space="720"/>
          <w:docGrid w:linePitch="299"/>
        </w:sectPr>
      </w:pPr>
    </w:p>
    <w:p w14:paraId="14BBB53B" w14:textId="77777777" w:rsidR="000D2F82" w:rsidRDefault="00946D66" w:rsidP="00946D66">
      <w:pPr>
        <w:pStyle w:val="Corpodetexto"/>
        <w:spacing w:before="76" w:line="276" w:lineRule="auto"/>
        <w:ind w:left="721" w:right="64"/>
      </w:pPr>
      <w:r>
        <w:lastRenderedPageBreak/>
        <w:t>e</w:t>
      </w:r>
      <w:r>
        <w:rPr>
          <w:spacing w:val="-5"/>
        </w:rPr>
        <w:t xml:space="preserve"> </w:t>
      </w:r>
      <w:r>
        <w:t>metanálise.</w:t>
      </w:r>
      <w:r>
        <w:rPr>
          <w:spacing w:val="-5"/>
        </w:rPr>
        <w:t xml:space="preserve"> </w:t>
      </w:r>
      <w:r>
        <w:t>Dissertação</w:t>
      </w:r>
      <w:r>
        <w:rPr>
          <w:spacing w:val="-3"/>
        </w:rPr>
        <w:t xml:space="preserve"> </w:t>
      </w:r>
      <w:r>
        <w:t>(Mestrado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Alimentação,</w:t>
      </w:r>
      <w:r>
        <w:rPr>
          <w:spacing w:val="-5"/>
        </w:rPr>
        <w:t xml:space="preserve"> </w:t>
      </w:r>
      <w:r>
        <w:t>Nutrição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Saúde)</w:t>
      </w:r>
      <w:r>
        <w:rPr>
          <w:spacing w:val="-1"/>
        </w:rPr>
        <w:t xml:space="preserve"> </w:t>
      </w:r>
      <w:r>
        <w:t>– UERJ, 2021.</w:t>
      </w:r>
    </w:p>
    <w:p w14:paraId="00244B50" w14:textId="77777777" w:rsidR="000D2F82" w:rsidRDefault="000D2F82" w:rsidP="00946D66">
      <w:pPr>
        <w:pStyle w:val="Corpodetexto"/>
        <w:spacing w:line="276" w:lineRule="auto"/>
      </w:pPr>
    </w:p>
    <w:p w14:paraId="0B69FC5B" w14:textId="77777777" w:rsidR="000D2F82" w:rsidRDefault="00946D66" w:rsidP="00946D66">
      <w:pPr>
        <w:pStyle w:val="Corpodetexto"/>
        <w:spacing w:line="276" w:lineRule="auto"/>
        <w:ind w:left="721"/>
      </w:pPr>
      <w:r>
        <w:t>MANSUR,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Vitamin</w:t>
      </w:r>
      <w:r>
        <w:rPr>
          <w:spacing w:val="-3"/>
        </w:rPr>
        <w:t xml:space="preserve"> </w:t>
      </w:r>
      <w:r>
        <w:t>D:</w:t>
      </w:r>
      <w:r>
        <w:rPr>
          <w:spacing w:val="-3"/>
        </w:rPr>
        <w:t xml:space="preserve"> </w:t>
      </w:r>
      <w:r>
        <w:t>before,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pregnancy:</w:t>
      </w:r>
      <w:r>
        <w:rPr>
          <w:spacing w:val="-3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 xml:space="preserve">on neonates and children. </w:t>
      </w:r>
      <w:r>
        <w:rPr>
          <w:i/>
        </w:rPr>
        <w:t>Nutrients</w:t>
      </w:r>
      <w:r>
        <w:t>, v. 14, n. 9, p. 1900, 2022.</w:t>
      </w:r>
    </w:p>
    <w:p w14:paraId="7C02DCB0" w14:textId="77777777" w:rsidR="000D2F82" w:rsidRDefault="000D2F82" w:rsidP="00946D66">
      <w:pPr>
        <w:pStyle w:val="Corpodetexto"/>
        <w:spacing w:before="5" w:line="276" w:lineRule="auto"/>
      </w:pPr>
    </w:p>
    <w:p w14:paraId="14D94BE9" w14:textId="77777777" w:rsidR="000D2F82" w:rsidRDefault="00946D66" w:rsidP="00946D66">
      <w:pPr>
        <w:pStyle w:val="Corpodetexto"/>
        <w:spacing w:line="276" w:lineRule="auto"/>
        <w:ind w:left="721"/>
      </w:pPr>
      <w:r>
        <w:t>MINISTÉRIO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SAÚDE.</w:t>
      </w:r>
      <w:r>
        <w:rPr>
          <w:spacing w:val="-4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Conjunta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251/2024</w:t>
      </w:r>
      <w:r>
        <w:rPr>
          <w:spacing w:val="-2"/>
        </w:rPr>
        <w:t xml:space="preserve"> </w:t>
      </w:r>
      <w:r>
        <w:t>– Suplementação de cálcio durante a gestação. Brasília: MS, 2024.</w:t>
      </w:r>
    </w:p>
    <w:p w14:paraId="6F41D746" w14:textId="77777777" w:rsidR="000D2F82" w:rsidRDefault="000D2F82" w:rsidP="00946D66">
      <w:pPr>
        <w:pStyle w:val="Corpodetexto"/>
        <w:spacing w:before="2" w:line="276" w:lineRule="auto"/>
      </w:pPr>
    </w:p>
    <w:p w14:paraId="4BEC8A05" w14:textId="77777777" w:rsidR="000D2F82" w:rsidRDefault="00946D66" w:rsidP="00946D66">
      <w:pPr>
        <w:spacing w:before="1" w:line="276" w:lineRule="auto"/>
        <w:ind w:left="721" w:right="12"/>
        <w:rPr>
          <w:sz w:val="24"/>
        </w:rPr>
      </w:pPr>
      <w:r>
        <w:rPr>
          <w:sz w:val="24"/>
        </w:rPr>
        <w:t>ZAMBA, M. A. S. A. et al. Suplementação de c</w:t>
      </w:r>
      <w:r>
        <w:rPr>
          <w:sz w:val="24"/>
        </w:rPr>
        <w:t>álcio na prevenção da pré- eclâmpsia: uma revisão integrativa de evidências clínicas e impactos na saúde materna.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Brazilian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Journal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Implantology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Sciences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v.</w:t>
      </w:r>
      <w:r>
        <w:rPr>
          <w:spacing w:val="-3"/>
          <w:sz w:val="24"/>
        </w:rPr>
        <w:t xml:space="preserve"> </w:t>
      </w:r>
      <w:r>
        <w:rPr>
          <w:sz w:val="24"/>
        </w:rPr>
        <w:t>6,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9,</w:t>
      </w:r>
      <w:r>
        <w:rPr>
          <w:spacing w:val="-3"/>
          <w:sz w:val="24"/>
        </w:rPr>
        <w:t xml:space="preserve"> </w:t>
      </w:r>
      <w:r>
        <w:rPr>
          <w:sz w:val="24"/>
        </w:rPr>
        <w:t>p. 1831-1846, 2024.</w:t>
      </w:r>
    </w:p>
    <w:p w14:paraId="4C77C9BE" w14:textId="77777777" w:rsidR="000D2F82" w:rsidRDefault="000D2F82" w:rsidP="00946D66">
      <w:pPr>
        <w:pStyle w:val="Corpodetexto"/>
        <w:spacing w:before="5" w:line="276" w:lineRule="auto"/>
      </w:pPr>
    </w:p>
    <w:p w14:paraId="2A835564" w14:textId="77777777" w:rsidR="000D2F82" w:rsidRDefault="00946D66" w:rsidP="00946D66">
      <w:pPr>
        <w:pStyle w:val="Corpodetexto"/>
        <w:spacing w:line="276" w:lineRule="auto"/>
        <w:ind w:left="721"/>
      </w:pPr>
      <w:r>
        <w:t>KORHONEN,</w:t>
      </w:r>
      <w:r>
        <w:rPr>
          <w:spacing w:val="-4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</w:t>
      </w:r>
      <w:r>
        <w:rPr>
          <w:spacing w:val="-4"/>
        </w:rPr>
        <w:t xml:space="preserve"> </w:t>
      </w:r>
      <w:r>
        <w:t>Calcium</w:t>
      </w:r>
      <w:r>
        <w:rPr>
          <w:spacing w:val="-4"/>
        </w:rPr>
        <w:t xml:space="preserve"> </w:t>
      </w:r>
      <w:r>
        <w:t>supplementation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pregnancy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long- term offspring outcome: a systematic literature review and meta-analysis.</w:t>
      </w:r>
    </w:p>
    <w:p w14:paraId="0B6FAF3A" w14:textId="77777777" w:rsidR="000D2F82" w:rsidRDefault="00946D66" w:rsidP="00946D66">
      <w:pPr>
        <w:spacing w:line="276" w:lineRule="auto"/>
        <w:ind w:left="721"/>
        <w:rPr>
          <w:sz w:val="24"/>
        </w:rPr>
      </w:pPr>
      <w:r>
        <w:rPr>
          <w:i/>
          <w:sz w:val="24"/>
        </w:rPr>
        <w:t>Annals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the New York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Academy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Sciences</w:t>
      </w:r>
      <w:r>
        <w:rPr>
          <w:sz w:val="24"/>
        </w:rPr>
        <w:t>, v.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1510, p. 36-51, </w:t>
      </w:r>
      <w:r>
        <w:rPr>
          <w:spacing w:val="-2"/>
          <w:sz w:val="24"/>
        </w:rPr>
        <w:t>2022.</w:t>
      </w:r>
    </w:p>
    <w:sectPr w:rsidR="000D2F82" w:rsidSect="00946D66"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82"/>
    <w:rsid w:val="000D2F82"/>
    <w:rsid w:val="002C1F8C"/>
    <w:rsid w:val="00411B75"/>
    <w:rsid w:val="004478E0"/>
    <w:rsid w:val="0050268F"/>
    <w:rsid w:val="008966A3"/>
    <w:rsid w:val="008B301A"/>
    <w:rsid w:val="00946D66"/>
    <w:rsid w:val="009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2AF2"/>
  <w15:docId w15:val="{21FA2A42-2B5F-48B1-9BBB-06448C04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11B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1B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1B7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1B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1B75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briellyfelix@nutri.fiponline.edu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847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Filgueiras</dc:creator>
  <cp:lastModifiedBy>Gabriel Filgueiras</cp:lastModifiedBy>
  <cp:revision>5</cp:revision>
  <dcterms:created xsi:type="dcterms:W3CDTF">2025-08-20T13:11:00Z</dcterms:created>
  <dcterms:modified xsi:type="dcterms:W3CDTF">2025-08-21T15:04:00Z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para Office 365</vt:lpwstr>
  </property>
</Properties>
</file>