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B1F02" w14:textId="21A94D7D" w:rsidR="00FE4105" w:rsidRDefault="004C4A45" w:rsidP="007D3DC7">
      <w:pPr>
        <w:pStyle w:val="cvgsua"/>
        <w:spacing w:line="360" w:lineRule="auto"/>
        <w:jc w:val="center"/>
        <w:rPr>
          <w:color w:val="000000"/>
        </w:rPr>
      </w:pPr>
      <w:r>
        <w:rPr>
          <w:rFonts w:eastAsiaTheme="majorEastAsia"/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58240" behindDoc="1" locked="1" layoutInCell="1" allowOverlap="1" wp14:anchorId="71ACA2D6" wp14:editId="7D58631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10666730"/>
            <wp:effectExtent l="0" t="0" r="1905" b="1270"/>
            <wp:wrapNone/>
            <wp:docPr id="703594475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075">
        <w:rPr>
          <w:rStyle w:val="oypena"/>
          <w:rFonts w:eastAsiaTheme="majorEastAsia"/>
          <w:b/>
          <w:bCs/>
          <w:color w:val="000000"/>
        </w:rPr>
        <w:t>AVALIAÇÃO DA PRÁTICA DA ACUPUNTURA COMO PREVENÇÃO TERCIÁRIA NA MELHORA DO QUADRO DE DOR CRÔNICA EM PACIENTES FIBROMIÁLGICOS</w:t>
      </w:r>
      <w:r w:rsidR="00B12BC8">
        <w:rPr>
          <w:rStyle w:val="oypena"/>
          <w:rFonts w:eastAsiaTheme="majorEastAsia"/>
          <w:b/>
          <w:bCs/>
          <w:color w:val="000000"/>
        </w:rPr>
        <w:t>: REVISÃO INTEGRATIVA</w:t>
      </w:r>
    </w:p>
    <w:p w14:paraId="38F2F7B7" w14:textId="731D0E75" w:rsidR="00FE4105" w:rsidRPr="00B12BC8" w:rsidRDefault="00FE4105" w:rsidP="00B12BC8">
      <w:pPr>
        <w:pStyle w:val="cvgsua"/>
        <w:jc w:val="both"/>
        <w:rPr>
          <w:rStyle w:val="oypena"/>
          <w:rFonts w:eastAsiaTheme="majorEastAsia"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INTRODUÇÃO</w:t>
      </w:r>
      <w:r>
        <w:rPr>
          <w:rStyle w:val="oypena"/>
          <w:rFonts w:eastAsiaTheme="majorEastAsia"/>
          <w:color w:val="000000"/>
        </w:rPr>
        <w:t>:</w:t>
      </w:r>
      <w:r w:rsidR="00ED4075">
        <w:rPr>
          <w:rStyle w:val="oypena"/>
          <w:rFonts w:eastAsiaTheme="majorEastAsia"/>
          <w:color w:val="000000"/>
        </w:rPr>
        <w:t xml:space="preserve"> </w:t>
      </w:r>
      <w:r w:rsidR="00ED4075" w:rsidRPr="00ED4075">
        <w:rPr>
          <w:rStyle w:val="oypena"/>
          <w:rFonts w:eastAsiaTheme="majorEastAsia"/>
          <w:color w:val="000000"/>
        </w:rPr>
        <w:t>A fibromialgia é uma síndrome não inflamatória que se manifesta através de dor crônica generalizada, principalmente musculoesquelética, associando-se com frequência a outros sintomas, como fadiga, disfunção cognitiva, sono não re</w:t>
      </w:r>
      <w:r w:rsidR="00B12BC8">
        <w:rPr>
          <w:rStyle w:val="oypena"/>
          <w:rFonts w:eastAsiaTheme="majorEastAsia"/>
          <w:color w:val="000000"/>
        </w:rPr>
        <w:t>parador e alterações do humor. Nesse contexto, o</w:t>
      </w:r>
      <w:r w:rsidR="00ED4075" w:rsidRPr="00ED4075">
        <w:rPr>
          <w:rStyle w:val="oypena"/>
          <w:rFonts w:eastAsiaTheme="majorEastAsia"/>
          <w:color w:val="000000"/>
        </w:rPr>
        <w:t xml:space="preserve"> principal tratamento não medicamentoso envolve exercícios aeróbicos, alongamentos, psicoterapia, acupuntura, entre outros</w:t>
      </w:r>
      <w:r w:rsidR="00B12BC8">
        <w:rPr>
          <w:rStyle w:val="oypena"/>
          <w:rFonts w:eastAsiaTheme="majorEastAsia"/>
          <w:color w:val="000000"/>
        </w:rPr>
        <w:t xml:space="preserve"> procedimentos</w:t>
      </w:r>
      <w:r w:rsidR="0077571F">
        <w:rPr>
          <w:rStyle w:val="oypena"/>
          <w:rFonts w:eastAsiaTheme="majorEastAsia"/>
          <w:color w:val="000000"/>
        </w:rPr>
        <w:t>,</w:t>
      </w:r>
      <w:r w:rsidR="00B12BC8">
        <w:rPr>
          <w:rStyle w:val="oypena"/>
          <w:rFonts w:eastAsiaTheme="majorEastAsia"/>
          <w:color w:val="000000"/>
        </w:rPr>
        <w:t xml:space="preserve"> que atuam de modo a </w:t>
      </w:r>
      <w:r w:rsidR="00B12BC8" w:rsidRPr="00B12BC8">
        <w:rPr>
          <w:rStyle w:val="oypena"/>
          <w:rFonts w:eastAsiaTheme="majorEastAsia"/>
          <w:color w:val="000000"/>
        </w:rPr>
        <w:t>reduzir em um indiv</w:t>
      </w:r>
      <w:r w:rsidR="00B12BC8" w:rsidRPr="00B12BC8">
        <w:rPr>
          <w:rStyle w:val="oypena"/>
          <w:rFonts w:eastAsiaTheme="majorEastAsia" w:hint="cs"/>
          <w:color w:val="000000"/>
        </w:rPr>
        <w:t>í</w:t>
      </w:r>
      <w:r w:rsidR="00B12BC8" w:rsidRPr="00B12BC8">
        <w:rPr>
          <w:rStyle w:val="oypena"/>
          <w:rFonts w:eastAsiaTheme="majorEastAsia"/>
          <w:color w:val="000000"/>
        </w:rPr>
        <w:t>duo</w:t>
      </w:r>
      <w:r w:rsidR="00B12BC8">
        <w:rPr>
          <w:rStyle w:val="oypena"/>
          <w:rFonts w:eastAsiaTheme="majorEastAsia"/>
          <w:color w:val="000000"/>
        </w:rPr>
        <w:t>,</w:t>
      </w:r>
      <w:r w:rsidR="00B12BC8" w:rsidRPr="00B12BC8">
        <w:rPr>
          <w:rStyle w:val="oypena"/>
          <w:rFonts w:eastAsiaTheme="majorEastAsia"/>
          <w:color w:val="000000"/>
        </w:rPr>
        <w:t xml:space="preserve"> os preju</w:t>
      </w:r>
      <w:r w:rsidR="00B12BC8" w:rsidRPr="00B12BC8">
        <w:rPr>
          <w:rStyle w:val="oypena"/>
          <w:rFonts w:eastAsiaTheme="majorEastAsia" w:hint="cs"/>
          <w:color w:val="000000"/>
        </w:rPr>
        <w:t>í</w:t>
      </w:r>
      <w:r w:rsidR="00B12BC8">
        <w:rPr>
          <w:rStyle w:val="oypena"/>
          <w:rFonts w:eastAsiaTheme="majorEastAsia"/>
          <w:color w:val="000000"/>
        </w:rPr>
        <w:t xml:space="preserve">zos </w:t>
      </w:r>
      <w:r w:rsidR="00B12BC8" w:rsidRPr="00B12BC8">
        <w:rPr>
          <w:rStyle w:val="oypena"/>
          <w:rFonts w:eastAsiaTheme="majorEastAsia"/>
          <w:color w:val="000000"/>
        </w:rPr>
        <w:t>funcionais consequentes de um problema agudo ou cr</w:t>
      </w:r>
      <w:r w:rsidR="00B12BC8" w:rsidRPr="00B12BC8">
        <w:rPr>
          <w:rStyle w:val="oypena"/>
          <w:rFonts w:eastAsiaTheme="majorEastAsia" w:hint="cs"/>
          <w:color w:val="000000"/>
        </w:rPr>
        <w:t>ô</w:t>
      </w:r>
      <w:r w:rsidR="00B12BC8" w:rsidRPr="00B12BC8">
        <w:rPr>
          <w:rStyle w:val="oypena"/>
          <w:rFonts w:eastAsiaTheme="majorEastAsia"/>
          <w:color w:val="000000"/>
        </w:rPr>
        <w:t>nico</w:t>
      </w:r>
      <w:r w:rsidR="00B12BC8">
        <w:rPr>
          <w:rStyle w:val="oypena"/>
          <w:rFonts w:eastAsiaTheme="majorEastAsia"/>
          <w:color w:val="000000"/>
        </w:rPr>
        <w:t>, dessa forma, praticando a</w:t>
      </w:r>
      <w:r w:rsidR="0077571F" w:rsidRPr="00B12BC8">
        <w:rPr>
          <w:rStyle w:val="oypena"/>
          <w:rFonts w:eastAsiaTheme="majorEastAsia"/>
          <w:color w:val="000000"/>
        </w:rPr>
        <w:t xml:space="preserve"> prevenção terciária</w:t>
      </w:r>
      <w:r w:rsidR="00B12BC8">
        <w:rPr>
          <w:rStyle w:val="oypena"/>
          <w:rFonts w:eastAsiaTheme="majorEastAsia"/>
          <w:color w:val="000000"/>
        </w:rPr>
        <w:t>, com o intuito</w:t>
      </w:r>
      <w:r w:rsidR="0077571F" w:rsidRPr="00B12BC8">
        <w:rPr>
          <w:rStyle w:val="oypena"/>
          <w:rFonts w:eastAsiaTheme="majorEastAsia"/>
          <w:color w:val="000000"/>
        </w:rPr>
        <w:t xml:space="preserve"> de aumentar a qualidade de vida do paciente</w:t>
      </w:r>
      <w:r w:rsidR="00ED4075" w:rsidRPr="00B12BC8">
        <w:rPr>
          <w:rStyle w:val="oypena"/>
          <w:rFonts w:eastAsiaTheme="majorEastAsia"/>
          <w:color w:val="000000"/>
        </w:rPr>
        <w:t>.</w:t>
      </w:r>
      <w:r w:rsidR="00ED4075" w:rsidRPr="00ED4075">
        <w:rPr>
          <w:rStyle w:val="oypena"/>
          <w:rFonts w:eastAsiaTheme="majorEastAsia"/>
          <w:color w:val="000000"/>
        </w:rPr>
        <w:t xml:space="preserve"> Dessa forma, a acupuntura tem sido aplicada como modalidade terapêutica em uma ampla variedade de condições </w:t>
      </w:r>
      <w:r w:rsidR="00ED4075" w:rsidRPr="00B12BC8">
        <w:rPr>
          <w:rStyle w:val="oypena"/>
          <w:rFonts w:eastAsiaTheme="majorEastAsia"/>
          <w:color w:val="000000"/>
        </w:rPr>
        <w:t>dolorosas e seus efeitos neurobiológicos, que interferem sobre os neurotransmissores relacionados à dor e à depressão, qualificam a técnica como adequada para o tratamento da dor crônica.</w:t>
      </w:r>
      <w:r w:rsidRPr="00B12BC8">
        <w:rPr>
          <w:rStyle w:val="oypena"/>
          <w:rFonts w:eastAsiaTheme="majorEastAsia"/>
          <w:color w:val="000000"/>
        </w:rPr>
        <w:t xml:space="preserve"> </w:t>
      </w:r>
      <w:r w:rsidRPr="00B12BC8">
        <w:rPr>
          <w:rStyle w:val="oypena"/>
          <w:rFonts w:eastAsiaTheme="majorEastAsia"/>
          <w:b/>
          <w:bCs/>
          <w:color w:val="000000"/>
        </w:rPr>
        <w:t>OBJETIVO</w:t>
      </w:r>
      <w:r w:rsidRPr="00B12BC8">
        <w:rPr>
          <w:rStyle w:val="oypena"/>
          <w:rFonts w:eastAsiaTheme="majorEastAsia"/>
          <w:color w:val="000000"/>
        </w:rPr>
        <w:t>:</w:t>
      </w:r>
      <w:r w:rsidR="00ED4075" w:rsidRPr="00B12BC8">
        <w:t xml:space="preserve"> </w:t>
      </w:r>
      <w:r w:rsidR="00ED4075" w:rsidRPr="00B12BC8">
        <w:rPr>
          <w:rStyle w:val="oypena"/>
          <w:rFonts w:eastAsiaTheme="majorEastAsia"/>
          <w:color w:val="000000"/>
        </w:rPr>
        <w:t>Dessa forma, esse estudo tem por objetivo</w:t>
      </w:r>
      <w:r w:rsidR="0077571F" w:rsidRPr="00B12BC8">
        <w:rPr>
          <w:rStyle w:val="oypena"/>
          <w:rFonts w:eastAsiaTheme="majorEastAsia"/>
          <w:color w:val="000000"/>
        </w:rPr>
        <w:t xml:space="preserve"> avaliar o quadro da dor crônica em pacientes fibromiálgicos, por meio da terapia acupunturista como método de prevenção terciária</w:t>
      </w:r>
      <w:r w:rsidRPr="00B12BC8">
        <w:rPr>
          <w:rStyle w:val="oypena"/>
          <w:rFonts w:eastAsiaTheme="majorEastAsia"/>
          <w:color w:val="000000"/>
        </w:rPr>
        <w:t xml:space="preserve">. </w:t>
      </w:r>
      <w:r w:rsidRPr="00B12BC8">
        <w:rPr>
          <w:rStyle w:val="oypena"/>
          <w:rFonts w:eastAsiaTheme="majorEastAsia"/>
          <w:b/>
          <w:bCs/>
          <w:color w:val="000000"/>
        </w:rPr>
        <w:t>METODOLOGIA</w:t>
      </w:r>
      <w:r w:rsidRPr="00B12BC8">
        <w:rPr>
          <w:rStyle w:val="oypena"/>
          <w:rFonts w:eastAsiaTheme="majorEastAsia"/>
          <w:color w:val="000000"/>
        </w:rPr>
        <w:t>:</w:t>
      </w:r>
      <w:r w:rsidR="00ED4075" w:rsidRPr="00B12BC8">
        <w:t xml:space="preserve"> </w:t>
      </w:r>
      <w:r w:rsidR="00ED4075" w:rsidRPr="00B12BC8">
        <w:rPr>
          <w:rStyle w:val="oypena"/>
          <w:rFonts w:eastAsiaTheme="majorEastAsia"/>
          <w:color w:val="000000"/>
        </w:rPr>
        <w:t>Trata-se de uma revisão integrativa da literatura, baseada em estudos científicos, na língua inglesa e portuguesa, publicados nos bancos de dados virtuais BVS, PubMed e</w:t>
      </w:r>
      <w:r w:rsidR="00ED4075" w:rsidRPr="00ED4075">
        <w:rPr>
          <w:rStyle w:val="oypena"/>
          <w:rFonts w:eastAsiaTheme="majorEastAsia"/>
          <w:color w:val="000000"/>
        </w:rPr>
        <w:t xml:space="preserve"> Sci</w:t>
      </w:r>
      <w:r w:rsidR="0077571F">
        <w:rPr>
          <w:rStyle w:val="oypena"/>
          <w:rFonts w:eastAsiaTheme="majorEastAsia"/>
          <w:color w:val="000000"/>
        </w:rPr>
        <w:t xml:space="preserve">ELO, que retratavam a repercussão da acupuntura no quadro de dor crônica </w:t>
      </w:r>
      <w:r w:rsidR="00ED4075" w:rsidRPr="00ED4075">
        <w:rPr>
          <w:rStyle w:val="oypena"/>
          <w:rFonts w:eastAsiaTheme="majorEastAsia"/>
          <w:color w:val="000000"/>
        </w:rPr>
        <w:t>em pacientes fibromiálgicos com terapia de acupuntura. Os descritores em ciências da saúde (DeCS): “Acupuntura”, “Fibromia</w:t>
      </w:r>
      <w:r w:rsidR="00ED4075">
        <w:rPr>
          <w:rStyle w:val="oypena"/>
          <w:rFonts w:eastAsiaTheme="majorEastAsia"/>
          <w:color w:val="000000"/>
        </w:rPr>
        <w:t>lgia” e “Terapia de acupuntura”</w:t>
      </w:r>
      <w:r>
        <w:rPr>
          <w:rStyle w:val="oypena"/>
          <w:rFonts w:eastAsiaTheme="majorEastAsia"/>
          <w:color w:val="000000"/>
        </w:rPr>
        <w:t xml:space="preserve">. </w:t>
      </w:r>
      <w:r>
        <w:rPr>
          <w:rStyle w:val="oypena"/>
          <w:rFonts w:eastAsiaTheme="majorEastAsia"/>
          <w:b/>
          <w:bCs/>
          <w:color w:val="000000"/>
        </w:rPr>
        <w:t>RESULTADOS</w:t>
      </w:r>
      <w:r>
        <w:rPr>
          <w:rStyle w:val="oypena"/>
          <w:rFonts w:eastAsiaTheme="majorEastAsia"/>
          <w:color w:val="000000"/>
        </w:rPr>
        <w:t>:</w:t>
      </w:r>
      <w:r w:rsidR="00ED4075">
        <w:rPr>
          <w:rStyle w:val="oypena"/>
          <w:rFonts w:eastAsiaTheme="majorEastAsia"/>
          <w:color w:val="000000"/>
        </w:rPr>
        <w:t xml:space="preserve"> </w:t>
      </w:r>
      <w:r w:rsidR="00ED4075" w:rsidRPr="00ED4075">
        <w:rPr>
          <w:rStyle w:val="oypena"/>
          <w:rFonts w:eastAsiaTheme="majorEastAsia"/>
          <w:color w:val="000000"/>
        </w:rPr>
        <w:t xml:space="preserve">Os artigos analisados trazem em sua maioria avaliações de pacientes fibromiálgicos com dor crônica submetidos a terapia acupunturista para alívio doloroso em diversas metodologias, observando sua </w:t>
      </w:r>
      <w:r w:rsidR="00BA392D">
        <w:rPr>
          <w:rStyle w:val="oypena"/>
          <w:rFonts w:eastAsiaTheme="majorEastAsia"/>
          <w:color w:val="000000"/>
        </w:rPr>
        <w:t>eficácia não só na melhora do quadro de dor crônica, mas também melhora significativa nos demais sintomas da síndrome, tais como: a ansiedade, depressão e qualidade do sono</w:t>
      </w:r>
      <w:r w:rsidR="00ED4075" w:rsidRPr="00ED4075">
        <w:rPr>
          <w:rStyle w:val="oypena"/>
          <w:rFonts w:eastAsiaTheme="majorEastAsia"/>
          <w:color w:val="000000"/>
        </w:rPr>
        <w:t>.</w:t>
      </w:r>
      <w:r>
        <w:rPr>
          <w:rStyle w:val="oypena"/>
          <w:rFonts w:eastAsiaTheme="majorEastAsia"/>
          <w:color w:val="000000"/>
        </w:rPr>
        <w:t xml:space="preserve"> </w:t>
      </w:r>
      <w:r>
        <w:rPr>
          <w:rStyle w:val="oypena"/>
          <w:rFonts w:eastAsiaTheme="majorEastAsia"/>
          <w:b/>
          <w:bCs/>
          <w:color w:val="000000"/>
        </w:rPr>
        <w:t>CONCLUSÃO</w:t>
      </w:r>
      <w:r>
        <w:rPr>
          <w:rStyle w:val="oypena"/>
          <w:rFonts w:eastAsiaTheme="majorEastAsia"/>
          <w:color w:val="000000"/>
        </w:rPr>
        <w:t>:</w:t>
      </w:r>
      <w:r w:rsidR="00ED4075">
        <w:rPr>
          <w:rStyle w:val="oypena"/>
          <w:rFonts w:eastAsiaTheme="majorEastAsia"/>
          <w:color w:val="000000"/>
        </w:rPr>
        <w:t xml:space="preserve"> </w:t>
      </w:r>
      <w:r w:rsidR="00ED4075" w:rsidRPr="00ED4075">
        <w:rPr>
          <w:rStyle w:val="oypena"/>
          <w:rFonts w:eastAsiaTheme="majorEastAsia"/>
          <w:color w:val="000000"/>
        </w:rPr>
        <w:t>Inferiu-se que a prática da acupuntura se mostra eficaz no alívio da dor em pacientes com dor crô</w:t>
      </w:r>
      <w:r w:rsidR="00B12BC8">
        <w:rPr>
          <w:rStyle w:val="oypena"/>
          <w:rFonts w:eastAsiaTheme="majorEastAsia"/>
          <w:color w:val="000000"/>
        </w:rPr>
        <w:t xml:space="preserve">nica </w:t>
      </w:r>
      <w:r w:rsidR="00B12BC8" w:rsidRPr="00B12BC8">
        <w:rPr>
          <w:rStyle w:val="oypena"/>
          <w:rFonts w:eastAsiaTheme="majorEastAsia"/>
          <w:color w:val="000000"/>
        </w:rPr>
        <w:t>principalmente em curto prazo, tendo sua efic</w:t>
      </w:r>
      <w:r w:rsidR="00B12BC8" w:rsidRPr="00B12BC8">
        <w:rPr>
          <w:rStyle w:val="oypena"/>
          <w:rFonts w:eastAsiaTheme="majorEastAsia" w:hint="cs"/>
          <w:color w:val="000000"/>
        </w:rPr>
        <w:t>á</w:t>
      </w:r>
      <w:r w:rsidR="00B12BC8" w:rsidRPr="00B12BC8">
        <w:rPr>
          <w:rStyle w:val="oypena"/>
          <w:rFonts w:eastAsiaTheme="majorEastAsia"/>
          <w:color w:val="000000"/>
        </w:rPr>
        <w:t>cia a longo prazo controversa. Ressalta-se, ainda, que a pr</w:t>
      </w:r>
      <w:r w:rsidR="00B12BC8" w:rsidRPr="00B12BC8">
        <w:rPr>
          <w:rStyle w:val="oypena"/>
          <w:rFonts w:eastAsiaTheme="majorEastAsia" w:hint="cs"/>
          <w:color w:val="000000"/>
        </w:rPr>
        <w:t>á</w:t>
      </w:r>
      <w:r w:rsidR="00B12BC8" w:rsidRPr="00B12BC8">
        <w:rPr>
          <w:rStyle w:val="oypena"/>
          <w:rFonts w:eastAsiaTheme="majorEastAsia"/>
          <w:color w:val="000000"/>
        </w:rPr>
        <w:t xml:space="preserve">tica acupunturista </w:t>
      </w:r>
      <w:r w:rsidR="00B12BC8" w:rsidRPr="00B12BC8">
        <w:rPr>
          <w:rStyle w:val="oypena"/>
          <w:rFonts w:eastAsiaTheme="majorEastAsia" w:hint="cs"/>
          <w:color w:val="000000"/>
        </w:rPr>
        <w:t>é</w:t>
      </w:r>
      <w:r w:rsidR="00B12BC8" w:rsidRPr="00B12BC8">
        <w:rPr>
          <w:rStyle w:val="oypena"/>
          <w:rFonts w:eastAsiaTheme="majorEastAsia"/>
          <w:color w:val="000000"/>
        </w:rPr>
        <w:t xml:space="preserve"> subestimada, podendo ser mais amplamente estudada para verifica</w:t>
      </w:r>
      <w:r w:rsidR="00B12BC8" w:rsidRPr="00B12BC8">
        <w:rPr>
          <w:rStyle w:val="oypena"/>
          <w:rFonts w:eastAsiaTheme="majorEastAsia" w:hint="cs"/>
          <w:color w:val="000000"/>
        </w:rPr>
        <w:t>çã</w:t>
      </w:r>
      <w:r w:rsidR="00B12BC8" w:rsidRPr="00B12BC8">
        <w:rPr>
          <w:rStyle w:val="oypena"/>
          <w:rFonts w:eastAsiaTheme="majorEastAsia"/>
          <w:color w:val="000000"/>
        </w:rPr>
        <w:t>o de seus efeitos a longo prazo.</w:t>
      </w:r>
    </w:p>
    <w:p w14:paraId="505AB9B2" w14:textId="77777777" w:rsidR="00FE4105" w:rsidRDefault="00FE4105" w:rsidP="007D3DC7">
      <w:pPr>
        <w:pStyle w:val="cvgsua"/>
        <w:jc w:val="both"/>
        <w:rPr>
          <w:color w:val="000000"/>
        </w:rPr>
      </w:pPr>
    </w:p>
    <w:p w14:paraId="671326B0" w14:textId="246E5651" w:rsidR="00FE4105" w:rsidRDefault="00FE4105" w:rsidP="007D3DC7">
      <w:pPr>
        <w:pStyle w:val="cvgsua"/>
        <w:jc w:val="both"/>
        <w:rPr>
          <w:rStyle w:val="oypena"/>
          <w:rFonts w:eastAsiaTheme="majorEastAsia"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Palavras-chaves</w:t>
      </w:r>
      <w:r w:rsidR="0077571F">
        <w:rPr>
          <w:rStyle w:val="oypena"/>
          <w:rFonts w:eastAsiaTheme="majorEastAsia"/>
          <w:color w:val="000000"/>
        </w:rPr>
        <w:t xml:space="preserve">: </w:t>
      </w:r>
      <w:r w:rsidR="0077571F" w:rsidRPr="0077571F">
        <w:rPr>
          <w:rStyle w:val="oypena"/>
          <w:rFonts w:eastAsiaTheme="majorEastAsia"/>
          <w:color w:val="000000"/>
        </w:rPr>
        <w:t>Acupuntura</w:t>
      </w:r>
      <w:r w:rsidR="0077571F">
        <w:rPr>
          <w:rStyle w:val="oypena"/>
          <w:rFonts w:eastAsiaTheme="majorEastAsia"/>
          <w:color w:val="000000"/>
        </w:rPr>
        <w:t xml:space="preserve">; </w:t>
      </w:r>
      <w:r w:rsidR="0077571F" w:rsidRPr="0077571F">
        <w:rPr>
          <w:rStyle w:val="oypena"/>
          <w:rFonts w:eastAsiaTheme="majorEastAsia"/>
          <w:color w:val="000000"/>
        </w:rPr>
        <w:t>Fibromialgia</w:t>
      </w:r>
      <w:r w:rsidR="0077571F">
        <w:rPr>
          <w:rStyle w:val="oypena"/>
          <w:rFonts w:eastAsiaTheme="majorEastAsia"/>
          <w:color w:val="000000"/>
        </w:rPr>
        <w:t xml:space="preserve">; </w:t>
      </w:r>
      <w:r w:rsidR="0077571F" w:rsidRPr="0077571F">
        <w:rPr>
          <w:rStyle w:val="oypena"/>
          <w:rFonts w:eastAsiaTheme="majorEastAsia"/>
          <w:color w:val="000000"/>
        </w:rPr>
        <w:t>Prevenção Terciária</w:t>
      </w:r>
      <w:r>
        <w:rPr>
          <w:rStyle w:val="oypena"/>
          <w:rFonts w:eastAsiaTheme="majorEastAsia"/>
          <w:color w:val="000000"/>
        </w:rPr>
        <w:t>.</w:t>
      </w:r>
    </w:p>
    <w:p w14:paraId="535E0B85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6E00F8E2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0B9ADAC8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65EC2126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2EED2995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3691A0B9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38EC925A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20E3EF47" w14:textId="3B7D7558" w:rsidR="004737CC" w:rsidRDefault="00795E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C8">
        <w:rPr>
          <w:rFonts w:ascii="Times New Roman" w:eastAsiaTheme="majorEastAsia" w:hAnsi="Times New Roman" w:cs="Times New Roman"/>
          <w:b/>
          <w:bCs/>
          <w:noProof/>
          <w:color w:val="000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1" locked="1" layoutInCell="1" allowOverlap="1" wp14:anchorId="40E855C6" wp14:editId="775B810B">
            <wp:simplePos x="0" y="0"/>
            <wp:positionH relativeFrom="page">
              <wp:align>right</wp:align>
            </wp:positionH>
            <wp:positionV relativeFrom="page">
              <wp:posOffset>20320</wp:posOffset>
            </wp:positionV>
            <wp:extent cx="7541895" cy="10666730"/>
            <wp:effectExtent l="0" t="0" r="1905" b="1270"/>
            <wp:wrapNone/>
            <wp:docPr id="1501416834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EC8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7693B401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ASSEFI, N. P. et al. A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randomized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trial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compared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sham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Annals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Internal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Medicine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143, n. 1, p. 10-19, 2005.</w:t>
      </w:r>
    </w:p>
    <w:p w14:paraId="5A650790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BRASIL, Ministério da Saúde.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Cadernos de Atenção Primária</w:t>
      </w:r>
      <w:r>
        <w:rPr>
          <w:rFonts w:ascii="Times New Roman" w:hAnsi="Times New Roman" w:cs="Times New Roman"/>
          <w:bCs/>
          <w:sz w:val="24"/>
          <w:szCs w:val="24"/>
        </w:rPr>
        <w:t>. Brasília, v.2, 2013.</w:t>
      </w:r>
    </w:p>
    <w:p w14:paraId="24A1545E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>DIAS, M. H. P. et al. Acupuntura em adolescentes com fibromialgia juvenil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. Revista Paulista de Pediatria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30, n. 1, p. 6-12, 2012.</w:t>
      </w:r>
    </w:p>
    <w:p w14:paraId="7FC79107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>HEYMANN, R. E. et al. Novas diretrizes para o diagn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ó</w:t>
      </w:r>
      <w:r w:rsidRPr="00B12BC8">
        <w:rPr>
          <w:rFonts w:ascii="Times New Roman" w:hAnsi="Times New Roman" w:cs="Times New Roman"/>
          <w:bCs/>
          <w:sz w:val="24"/>
          <w:szCs w:val="24"/>
        </w:rPr>
        <w:t xml:space="preserve">stico da fibromialgia.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Revista Brasileira de Reumatologia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57, n. 2, p. 467-476, 2017.</w:t>
      </w:r>
    </w:p>
    <w:p w14:paraId="1B421FE3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HUANG, M. C. et al.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decreased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risk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stroke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among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patients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in Taiwan: A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nationwide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matched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cohort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PLOS ONE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15, n. 10, p. 1-15, 2020.</w:t>
      </w:r>
    </w:p>
    <w:p w14:paraId="4E9D2DAC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MARTIN, D. P. et al.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Improvement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symptoms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of a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randomized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controlled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trial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Mayo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Clinic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Proceedings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>, v. 81, n. 6, p. 749-757, 2006.</w:t>
      </w:r>
    </w:p>
    <w:p w14:paraId="0DAEDCF3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MAWLA, I. et al.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Greater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Somatosensory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Afference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Increases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Primary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Somatosensory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Connectivity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Alleviates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Pain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12BC8">
        <w:rPr>
          <w:rFonts w:ascii="Times New Roman" w:hAnsi="Times New Roman" w:cs="Times New Roman"/>
          <w:bCs/>
          <w:sz w:val="24"/>
          <w:szCs w:val="24"/>
        </w:rPr>
        <w:t>via Insular</w:t>
      </w:r>
      <w:proofErr w:type="gram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γ</w:t>
      </w:r>
      <w:r w:rsidRPr="00B12BC8">
        <w:rPr>
          <w:rFonts w:ascii="Times New Roman" w:hAnsi="Times New Roman" w:cs="Times New Roman"/>
          <w:bCs/>
          <w:sz w:val="24"/>
          <w:szCs w:val="24"/>
        </w:rPr>
        <w:t>‐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Aminobutyric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Acid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: A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Randomized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Neuroimaging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Trial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Arthritis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Rheumatology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>, v. 73, n. 7, p. 1318-1328, 2021.</w:t>
      </w:r>
    </w:p>
    <w:p w14:paraId="14EEBCC8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>MEDEIROS, R.; SAAD, M. Acupuntura: efeitos fisiol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ó</w:t>
      </w:r>
      <w:r w:rsidRPr="00B12BC8">
        <w:rPr>
          <w:rFonts w:ascii="Times New Roman" w:hAnsi="Times New Roman" w:cs="Times New Roman"/>
          <w:bCs/>
          <w:sz w:val="24"/>
          <w:szCs w:val="24"/>
        </w:rPr>
        <w:t>gicos al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é</w:t>
      </w:r>
      <w:r w:rsidRPr="00B12BC8">
        <w:rPr>
          <w:rFonts w:ascii="Times New Roman" w:hAnsi="Times New Roman" w:cs="Times New Roman"/>
          <w:bCs/>
          <w:sz w:val="24"/>
          <w:szCs w:val="24"/>
        </w:rPr>
        <w:t xml:space="preserve">m do efeito placebo.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O Mundo da Sa</w:t>
      </w:r>
      <w:r w:rsidRPr="00B12BC8">
        <w:rPr>
          <w:rFonts w:ascii="Times New Roman" w:hAnsi="Times New Roman" w:cs="Times New Roman" w:hint="cs"/>
          <w:b/>
          <w:bCs/>
          <w:sz w:val="24"/>
          <w:szCs w:val="24"/>
        </w:rPr>
        <w:t>ú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33, n. 1, p. 69-72, 2009.</w:t>
      </w:r>
    </w:p>
    <w:p w14:paraId="62C7BDAA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>MENEZES, C. R. et al. Base neurofisiol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ó</w:t>
      </w:r>
      <w:r w:rsidRPr="00B12BC8">
        <w:rPr>
          <w:rFonts w:ascii="Times New Roman" w:hAnsi="Times New Roman" w:cs="Times New Roman"/>
          <w:bCs/>
          <w:sz w:val="24"/>
          <w:szCs w:val="24"/>
        </w:rPr>
        <w:t>gica para compreens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ã</w:t>
      </w:r>
      <w:r w:rsidRPr="00B12BC8">
        <w:rPr>
          <w:rFonts w:ascii="Times New Roman" w:hAnsi="Times New Roman" w:cs="Times New Roman"/>
          <w:bCs/>
          <w:sz w:val="24"/>
          <w:szCs w:val="24"/>
        </w:rPr>
        <w:t>o da dor cr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ô</w:t>
      </w:r>
      <w:r w:rsidRPr="00B12BC8">
        <w:rPr>
          <w:rFonts w:ascii="Times New Roman" w:hAnsi="Times New Roman" w:cs="Times New Roman"/>
          <w:bCs/>
          <w:sz w:val="24"/>
          <w:szCs w:val="24"/>
        </w:rPr>
        <w:t>nica atrav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é</w:t>
      </w:r>
      <w:r w:rsidRPr="00B12BC8">
        <w:rPr>
          <w:rFonts w:ascii="Times New Roman" w:hAnsi="Times New Roman" w:cs="Times New Roman"/>
          <w:bCs/>
          <w:sz w:val="24"/>
          <w:szCs w:val="24"/>
        </w:rPr>
        <w:t xml:space="preserve">s da Acupuntura.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Revista Dor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11, n. 2, p. 161-168, 2010.</w:t>
      </w:r>
    </w:p>
    <w:p w14:paraId="25CD1009" w14:textId="3A40AB3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OLIVEIRA, R. M. et al. Efeito da acupuntura na qualidade de vida e no tratamento da dor em pacientes com fibromialgia.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Pr="00B12BC8">
        <w:rPr>
          <w:rFonts w:ascii="Times New Roman" w:hAnsi="Times New Roman" w:cs="Times New Roman" w:hint="cs"/>
          <w:b/>
          <w:bCs/>
          <w:sz w:val="24"/>
          <w:szCs w:val="24"/>
        </w:rPr>
        <w:t>ê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ncias da Sa</w:t>
      </w:r>
      <w:r w:rsidRPr="00B12BC8">
        <w:rPr>
          <w:rFonts w:ascii="Times New Roman" w:hAnsi="Times New Roman" w:cs="Times New Roman" w:hint="cs"/>
          <w:b/>
          <w:bCs/>
          <w:sz w:val="24"/>
          <w:szCs w:val="24"/>
        </w:rPr>
        <w:t>ú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>, v. 12, n. 1, 2014.</w:t>
      </w:r>
    </w:p>
    <w:p w14:paraId="2F13A702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>SILVA, F. R.; FONTOURA, H. de S.; RORIZ, C. F. V. A utiliza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çã</w:t>
      </w:r>
      <w:r w:rsidRPr="00B12BC8">
        <w:rPr>
          <w:rFonts w:ascii="Times New Roman" w:hAnsi="Times New Roman" w:cs="Times New Roman"/>
          <w:bCs/>
          <w:sz w:val="24"/>
          <w:szCs w:val="24"/>
        </w:rPr>
        <w:t>o da acupuntura no tratamento da fibromialgia relacionando com a qualidade de vida e a dosagem s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é</w:t>
      </w:r>
      <w:r w:rsidRPr="00B12BC8">
        <w:rPr>
          <w:rFonts w:ascii="Times New Roman" w:hAnsi="Times New Roman" w:cs="Times New Roman"/>
          <w:bCs/>
          <w:sz w:val="24"/>
          <w:szCs w:val="24"/>
        </w:rPr>
        <w:t xml:space="preserve">rica de serotonina.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Fisioterapia Brasil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12, n. 4, p. 298-302, 2017.</w:t>
      </w:r>
    </w:p>
    <w:p w14:paraId="461DF6F4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SPROTT, H. et al.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Pain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treatment of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Rheumatology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>, v. 18, n. 1, p. 35-36, 19</w:t>
      </w:r>
      <w:bookmarkStart w:id="0" w:name="_GoBack"/>
      <w:bookmarkEnd w:id="0"/>
      <w:r w:rsidRPr="00B12BC8">
        <w:rPr>
          <w:rFonts w:ascii="Times New Roman" w:hAnsi="Times New Roman" w:cs="Times New Roman"/>
          <w:bCs/>
          <w:sz w:val="24"/>
          <w:szCs w:val="24"/>
        </w:rPr>
        <w:t>98.</w:t>
      </w:r>
    </w:p>
    <w:p w14:paraId="5D703F49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STIVAL, R. S. M. et al. Acupuntura na fibromialgia: um estudo randomizado controlado abordando a resposta imediata da dor.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Revista Brasileira de Reumatologia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54, n. 6, p. 431-436, 2014.</w:t>
      </w:r>
    </w:p>
    <w:p w14:paraId="28BDFE6E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>TAKIGUCHI, R. S. et al. Efeito da acupuntura na melhora da dor, sono e qualidade de vida em pacientes fibromi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á</w:t>
      </w:r>
      <w:r w:rsidRPr="00B12BC8">
        <w:rPr>
          <w:rFonts w:ascii="Times New Roman" w:hAnsi="Times New Roman" w:cs="Times New Roman"/>
          <w:bCs/>
          <w:sz w:val="24"/>
          <w:szCs w:val="24"/>
        </w:rPr>
        <w:t xml:space="preserve">lgicos: estudo preliminar. </w:t>
      </w:r>
      <w:r w:rsidRPr="00B12BC8">
        <w:rPr>
          <w:rFonts w:ascii="Times New Roman" w:hAnsi="Times New Roman" w:cs="Times New Roman"/>
          <w:b/>
          <w:bCs/>
          <w:sz w:val="24"/>
          <w:szCs w:val="24"/>
        </w:rPr>
        <w:t>Fisioterapia e Pesquisa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15, n. 3, p. 280-284, 2008.</w:t>
      </w:r>
    </w:p>
    <w:p w14:paraId="3E8C7494" w14:textId="77777777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VAS, J. et al.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Primary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Care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: A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Randomised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Controlled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Trial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in Medicine</w:t>
      </w:r>
      <w:proofErr w:type="gramEnd"/>
      <w:r w:rsidRPr="00B12BC8">
        <w:rPr>
          <w:rFonts w:ascii="Times New Roman" w:hAnsi="Times New Roman" w:cs="Times New Roman"/>
          <w:bCs/>
          <w:sz w:val="24"/>
          <w:szCs w:val="24"/>
        </w:rPr>
        <w:t>, v. 34, n. 4, p. 257-266, 2016.</w:t>
      </w:r>
    </w:p>
    <w:p w14:paraId="1206E25D" w14:textId="77777777" w:rsid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>Y</w:t>
      </w:r>
      <w:r w:rsidRPr="00B12BC8">
        <w:rPr>
          <w:rFonts w:ascii="Times New Roman" w:hAnsi="Times New Roman" w:cs="Times New Roman" w:hint="cs"/>
          <w:bCs/>
          <w:sz w:val="24"/>
          <w:szCs w:val="24"/>
        </w:rPr>
        <w:t>Ü</w:t>
      </w:r>
      <w:r w:rsidRPr="00B12BC8">
        <w:rPr>
          <w:rFonts w:ascii="Times New Roman" w:hAnsi="Times New Roman" w:cs="Times New Roman"/>
          <w:bCs/>
          <w:sz w:val="24"/>
          <w:szCs w:val="24"/>
        </w:rPr>
        <w:t xml:space="preserve">KSEL, M. et al.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Quantitative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data for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transcutaneous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electrical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nerve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stimulation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effectiveness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in treatment of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syndrome.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Evidence-Based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Complementary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Alternative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Medicine</w:t>
      </w:r>
      <w:r w:rsidRPr="00B12BC8">
        <w:rPr>
          <w:rFonts w:ascii="Times New Roman" w:hAnsi="Times New Roman" w:cs="Times New Roman"/>
          <w:bCs/>
          <w:sz w:val="24"/>
          <w:szCs w:val="24"/>
        </w:rPr>
        <w:t>, v. 96, n. 8, p. 46-49, 2019.</w:t>
      </w:r>
    </w:p>
    <w:p w14:paraId="7FD69CEB" w14:textId="58C56E0F" w:rsidR="00B12BC8" w:rsidRPr="00B12BC8" w:rsidRDefault="00B12BC8" w:rsidP="00B12B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12BC8">
        <w:rPr>
          <w:rFonts w:ascii="Times New Roman" w:hAnsi="Times New Roman" w:cs="Times New Roman"/>
          <w:bCs/>
          <w:sz w:val="24"/>
          <w:szCs w:val="24"/>
        </w:rPr>
        <w:t xml:space="preserve">ZUCKER, N. A. et al.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Evoked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pressure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pain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sensitivity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associated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differential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analgesic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response to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verum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sham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acupuncture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12BC8">
        <w:rPr>
          <w:rFonts w:ascii="Times New Roman" w:hAnsi="Times New Roman" w:cs="Times New Roman"/>
          <w:bCs/>
          <w:sz w:val="24"/>
          <w:szCs w:val="24"/>
        </w:rPr>
        <w:t>fibromyalgia</w:t>
      </w:r>
      <w:proofErr w:type="spellEnd"/>
      <w:r w:rsidRPr="00B12B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B12BC8">
        <w:rPr>
          <w:rFonts w:ascii="Times New Roman" w:hAnsi="Times New Roman" w:cs="Times New Roman"/>
          <w:b/>
          <w:bCs/>
          <w:sz w:val="24"/>
          <w:szCs w:val="24"/>
        </w:rPr>
        <w:t>Pain</w:t>
      </w:r>
      <w:proofErr w:type="spellEnd"/>
      <w:r w:rsidRPr="00B12BC8">
        <w:rPr>
          <w:rFonts w:ascii="Times New Roman" w:hAnsi="Times New Roman" w:cs="Times New Roman"/>
          <w:b/>
          <w:bCs/>
          <w:sz w:val="24"/>
          <w:szCs w:val="24"/>
        </w:rPr>
        <w:t xml:space="preserve"> Medicine</w:t>
      </w:r>
      <w:proofErr w:type="gramEnd"/>
      <w:r w:rsidRPr="00B12BC8">
        <w:rPr>
          <w:rFonts w:ascii="Times New Roman" w:hAnsi="Times New Roman" w:cs="Times New Roman"/>
          <w:bCs/>
          <w:sz w:val="24"/>
          <w:szCs w:val="24"/>
        </w:rPr>
        <w:t>, v. 18, n. 8, p. 1582-1592, 2017.</w:t>
      </w:r>
    </w:p>
    <w:p w14:paraId="04F22B30" w14:textId="77777777" w:rsidR="00795EC8" w:rsidRPr="00795EC8" w:rsidRDefault="00795EC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5EC8" w:rsidRPr="00795EC8" w:rsidSect="0031660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D58"/>
    <w:multiLevelType w:val="hybridMultilevel"/>
    <w:tmpl w:val="841497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05"/>
    <w:rsid w:val="00040610"/>
    <w:rsid w:val="000E1963"/>
    <w:rsid w:val="00316600"/>
    <w:rsid w:val="003871C6"/>
    <w:rsid w:val="004737CC"/>
    <w:rsid w:val="004C4A45"/>
    <w:rsid w:val="004F4DD4"/>
    <w:rsid w:val="005121D3"/>
    <w:rsid w:val="005C547E"/>
    <w:rsid w:val="0077571F"/>
    <w:rsid w:val="00795EC8"/>
    <w:rsid w:val="007D3DC7"/>
    <w:rsid w:val="00AE1048"/>
    <w:rsid w:val="00B12BC8"/>
    <w:rsid w:val="00BA392D"/>
    <w:rsid w:val="00BD6FBA"/>
    <w:rsid w:val="00C83F01"/>
    <w:rsid w:val="00DA08F8"/>
    <w:rsid w:val="00E52AFE"/>
    <w:rsid w:val="00ED4075"/>
    <w:rsid w:val="00F56C55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678"/>
  <w15:chartTrackingRefBased/>
  <w15:docId w15:val="{3553E901-918B-4B50-9BB9-62B1B1BE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1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1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1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1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1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1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10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F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FE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Souza</dc:creator>
  <cp:keywords/>
  <dc:description/>
  <cp:lastModifiedBy>João Pedro</cp:lastModifiedBy>
  <cp:revision>2</cp:revision>
  <dcterms:created xsi:type="dcterms:W3CDTF">2024-05-13T01:37:00Z</dcterms:created>
  <dcterms:modified xsi:type="dcterms:W3CDTF">2024-05-13T01:37:00Z</dcterms:modified>
</cp:coreProperties>
</file>