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680086E2" w:rsidR="00442A47" w:rsidRPr="008B3108" w:rsidRDefault="00C91E3B" w:rsidP="00903DD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DISCUSSÃO </w:t>
      </w:r>
      <w:r w:rsidR="000B0619">
        <w:rPr>
          <w:rFonts w:ascii="Arial" w:hAnsi="Arial" w:cs="Arial"/>
          <w:b/>
          <w:bCs/>
          <w:sz w:val="28"/>
          <w:szCs w:val="28"/>
        </w:rPr>
        <w:t xml:space="preserve">CONCEITUAL </w:t>
      </w:r>
      <w:r>
        <w:rPr>
          <w:rFonts w:ascii="Arial" w:hAnsi="Arial" w:cs="Arial"/>
          <w:b/>
          <w:bCs/>
          <w:sz w:val="28"/>
          <w:szCs w:val="28"/>
        </w:rPr>
        <w:t>SOBRE</w:t>
      </w:r>
      <w:r w:rsidR="00A861C7">
        <w:rPr>
          <w:rFonts w:ascii="Arial" w:hAnsi="Arial" w:cs="Arial"/>
          <w:b/>
          <w:bCs/>
          <w:sz w:val="28"/>
          <w:szCs w:val="28"/>
        </w:rPr>
        <w:t xml:space="preserve"> DOCÊNCIA</w:t>
      </w:r>
      <w:r w:rsidR="000B0619">
        <w:rPr>
          <w:rFonts w:ascii="Arial" w:hAnsi="Arial" w:cs="Arial"/>
          <w:b/>
          <w:bCs/>
          <w:sz w:val="28"/>
          <w:szCs w:val="28"/>
        </w:rPr>
        <w:t xml:space="preserve">: UMA CONTRIBUIÇÃO PARA REFLEXÕES SOBRE </w:t>
      </w:r>
      <w:r w:rsidR="00B831BB">
        <w:rPr>
          <w:rFonts w:ascii="Arial" w:hAnsi="Arial" w:cs="Arial"/>
          <w:b/>
          <w:bCs/>
          <w:sz w:val="28"/>
          <w:szCs w:val="28"/>
        </w:rPr>
        <w:t>A FORMAÇÃO DE PROFESSORES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2EA70022" w14:textId="77777777" w:rsidR="00A861C7" w:rsidRDefault="00A861C7" w:rsidP="00905EB5">
      <w:pPr>
        <w:spacing w:after="0" w:line="240" w:lineRule="auto"/>
        <w:jc w:val="right"/>
        <w:rPr>
          <w:rFonts w:ascii="Arial" w:hAnsi="Arial" w:cs="Arial"/>
        </w:rPr>
      </w:pPr>
    </w:p>
    <w:p w14:paraId="07564B75" w14:textId="6102DB8D" w:rsidR="00A861C7" w:rsidRPr="00762558" w:rsidRDefault="00A861C7" w:rsidP="00A861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62558">
        <w:rPr>
          <w:rFonts w:ascii="Arial" w:hAnsi="Arial" w:cs="Arial"/>
          <w:b/>
          <w:bCs/>
        </w:rPr>
        <w:t>Introdução</w:t>
      </w:r>
    </w:p>
    <w:p w14:paraId="2E820EE2" w14:textId="77777777" w:rsidR="00A861C7" w:rsidRDefault="00A861C7" w:rsidP="00A861C7">
      <w:pPr>
        <w:spacing w:after="0" w:line="240" w:lineRule="auto"/>
        <w:jc w:val="both"/>
        <w:rPr>
          <w:rFonts w:ascii="Arial" w:hAnsi="Arial" w:cs="Arial"/>
        </w:rPr>
      </w:pPr>
    </w:p>
    <w:p w14:paraId="1AAF9F6C" w14:textId="6C08A24B" w:rsidR="00762558" w:rsidRPr="00D90D8D" w:rsidRDefault="001E2153" w:rsidP="00A861C7">
      <w:pPr>
        <w:pStyle w:val="Recuodecorpodetexto"/>
        <w:spacing w:line="360" w:lineRule="auto"/>
        <w:ind w:left="0" w:firstLine="851"/>
        <w:jc w:val="both"/>
        <w:rPr>
          <w:rFonts w:ascii="Arial" w:hAnsi="Arial" w:cs="Arial"/>
        </w:rPr>
      </w:pPr>
      <w:r w:rsidRPr="00D90D8D">
        <w:rPr>
          <w:rFonts w:ascii="Arial" w:hAnsi="Arial" w:cs="Arial"/>
        </w:rPr>
        <w:t xml:space="preserve">É importante, já de início, compreender que a formação de professores </w:t>
      </w:r>
      <w:r w:rsidR="00762558" w:rsidRPr="00D90D8D">
        <w:rPr>
          <w:rFonts w:ascii="Arial" w:hAnsi="Arial" w:cs="Arial"/>
        </w:rPr>
        <w:t>é um campo</w:t>
      </w:r>
      <w:r w:rsidRPr="00D90D8D">
        <w:rPr>
          <w:rFonts w:ascii="Arial" w:hAnsi="Arial" w:cs="Arial"/>
        </w:rPr>
        <w:t xml:space="preserve"> que se constitui em disputas permanentes, seja por concepções</w:t>
      </w:r>
      <w:r w:rsidR="0016612C">
        <w:rPr>
          <w:rFonts w:ascii="Arial" w:hAnsi="Arial" w:cs="Arial"/>
        </w:rPr>
        <w:t xml:space="preserve"> </w:t>
      </w:r>
      <w:r w:rsidRPr="00D90D8D">
        <w:rPr>
          <w:rFonts w:ascii="Arial" w:hAnsi="Arial" w:cs="Arial"/>
        </w:rPr>
        <w:t>seja por formas e processos de sua institucionalização.</w:t>
      </w:r>
      <w:r w:rsidR="00762558" w:rsidRPr="00D90D8D">
        <w:rPr>
          <w:rFonts w:ascii="Arial" w:hAnsi="Arial" w:cs="Arial"/>
        </w:rPr>
        <w:t xml:space="preserve"> </w:t>
      </w:r>
      <w:r w:rsidR="00B831BB">
        <w:rPr>
          <w:rFonts w:ascii="Arial" w:hAnsi="Arial" w:cs="Arial"/>
        </w:rPr>
        <w:t xml:space="preserve">Nesse sentido, </w:t>
      </w:r>
      <w:r w:rsidRPr="00D90D8D">
        <w:rPr>
          <w:rFonts w:ascii="Arial" w:hAnsi="Arial" w:cs="Arial"/>
        </w:rPr>
        <w:t>é importante evidenciar a</w:t>
      </w:r>
      <w:r w:rsidR="00762558" w:rsidRPr="00D90D8D">
        <w:rPr>
          <w:rFonts w:ascii="Arial" w:hAnsi="Arial" w:cs="Arial"/>
        </w:rPr>
        <w:t xml:space="preserve"> educação como práxis</w:t>
      </w:r>
      <w:r w:rsidR="00C52E91">
        <w:rPr>
          <w:rStyle w:val="Refdenotaderodap"/>
          <w:rFonts w:ascii="Arial" w:hAnsi="Arial" w:cs="Arial"/>
        </w:rPr>
        <w:footnoteReference w:id="1"/>
      </w:r>
      <w:r w:rsidR="00762558" w:rsidRPr="00D90D8D">
        <w:rPr>
          <w:rFonts w:ascii="Arial" w:hAnsi="Arial" w:cs="Arial"/>
        </w:rPr>
        <w:t>, como atividade social. A educação é uma prática social que se faz por meio da humanização constituinte e constitutiva da autonomia</w:t>
      </w:r>
      <w:r w:rsidR="0016612C">
        <w:rPr>
          <w:rFonts w:ascii="Arial" w:hAnsi="Arial" w:cs="Arial"/>
        </w:rPr>
        <w:t xml:space="preserve"> </w:t>
      </w:r>
      <w:r w:rsidR="00762558" w:rsidRPr="00D90D8D">
        <w:rPr>
          <w:rFonts w:ascii="Arial" w:hAnsi="Arial" w:cs="Arial"/>
        </w:rPr>
        <w:t>é processo histórico das relações humanas que se dão nos mais variados espaços sociais em que ocorrem os processos educativos.</w:t>
      </w:r>
    </w:p>
    <w:p w14:paraId="3F850487" w14:textId="730A5967" w:rsidR="00A861C7" w:rsidRDefault="00A861C7" w:rsidP="00A861C7">
      <w:pPr>
        <w:pStyle w:val="Recuodecorpodetexto"/>
        <w:spacing w:line="360" w:lineRule="auto"/>
        <w:ind w:left="0" w:firstLine="851"/>
        <w:jc w:val="both"/>
        <w:rPr>
          <w:rFonts w:ascii="Arial" w:hAnsi="Arial" w:cs="Arial"/>
        </w:rPr>
      </w:pPr>
      <w:r w:rsidRPr="00A861C7">
        <w:rPr>
          <w:rFonts w:ascii="Arial" w:hAnsi="Arial" w:cs="Arial"/>
        </w:rPr>
        <w:t xml:space="preserve">A educação só pode se dar em condição de produção dialógica, em um processo não-dominador e fundante de uma prática calcada em argumentos críticos e lutas sobre as questões e demandas sociais. Paro (2003) esclarece que a educação é mediadora entre o saber produzido e a construção histórica do homem, entre o seu passado, presente e o futuro. Nesse sentido, Coêlho (2012, p. 35 - 36), </w:t>
      </w:r>
      <w:r w:rsidR="00762558">
        <w:rPr>
          <w:rFonts w:ascii="Arial" w:hAnsi="Arial" w:cs="Arial"/>
        </w:rPr>
        <w:t xml:space="preserve">acentua que </w:t>
      </w:r>
      <w:r w:rsidRPr="00A861C7">
        <w:rPr>
          <w:rFonts w:ascii="Arial" w:hAnsi="Arial" w:cs="Arial"/>
        </w:rPr>
        <w:t xml:space="preserve">a educação é o modo pelo qual o homem se </w:t>
      </w:r>
      <w:r w:rsidR="007D09CB" w:rsidRPr="00A861C7">
        <w:rPr>
          <w:rFonts w:ascii="Arial" w:hAnsi="Arial" w:cs="Arial"/>
        </w:rPr>
        <w:t>auto constitui</w:t>
      </w:r>
      <w:r w:rsidRPr="00A861C7">
        <w:rPr>
          <w:rFonts w:ascii="Arial" w:hAnsi="Arial" w:cs="Arial"/>
        </w:rPr>
        <w:t xml:space="preserve"> e existe desde o momento em “que há o acontecer do homem”, ou seja, “quando e onde o homem aconteça no ‘evento’ em que ele conquista o dom do ‘próprio’, ou seja, […] quando realiza ‘propriamente’ o seu existir”. E o autor </w:t>
      </w:r>
      <w:r w:rsidR="00762558">
        <w:rPr>
          <w:rFonts w:ascii="Arial" w:hAnsi="Arial" w:cs="Arial"/>
        </w:rPr>
        <w:t>afirma</w:t>
      </w:r>
      <w:r w:rsidRPr="00A861C7">
        <w:rPr>
          <w:rFonts w:ascii="Arial" w:hAnsi="Arial" w:cs="Arial"/>
        </w:rPr>
        <w:t xml:space="preserve"> que o homem se realiza, “somente correspondendo à sua vocação de ser ‘propriamente’ humano, é que o homem encontra o seu </w:t>
      </w:r>
      <w:r w:rsidRPr="007D09CB">
        <w:rPr>
          <w:rFonts w:ascii="Arial" w:hAnsi="Arial" w:cs="Arial"/>
          <w:i/>
          <w:iCs/>
        </w:rPr>
        <w:t xml:space="preserve">ethos </w:t>
      </w:r>
      <w:r w:rsidRPr="00A861C7">
        <w:rPr>
          <w:rFonts w:ascii="Arial" w:hAnsi="Arial" w:cs="Arial"/>
        </w:rPr>
        <w:t>[…].”</w:t>
      </w:r>
    </w:p>
    <w:p w14:paraId="16A9BBE4" w14:textId="1BC18B89" w:rsidR="00A861C7" w:rsidRDefault="00A861C7" w:rsidP="00A861C7">
      <w:pPr>
        <w:pStyle w:val="Recuodecorpodetexto"/>
        <w:spacing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partir dessa</w:t>
      </w:r>
      <w:r w:rsidR="001E215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premissa</w:t>
      </w:r>
      <w:r w:rsidR="001E2153">
        <w:rPr>
          <w:rFonts w:ascii="Arial" w:hAnsi="Arial" w:cs="Arial"/>
        </w:rPr>
        <w:t>s</w:t>
      </w:r>
      <w:r>
        <w:rPr>
          <w:rFonts w:ascii="Arial" w:hAnsi="Arial" w:cs="Arial"/>
        </w:rPr>
        <w:t>, é importante refletir conceitualmente sobre proposições formativas de professores, no momento em que se institui</w:t>
      </w:r>
      <w:r w:rsidR="00762558">
        <w:rPr>
          <w:rFonts w:ascii="Arial" w:hAnsi="Arial" w:cs="Arial"/>
        </w:rPr>
        <w:t xml:space="preserve"> e segue sendo implementada</w:t>
      </w:r>
      <w:r>
        <w:rPr>
          <w:rFonts w:ascii="Arial" w:hAnsi="Arial" w:cs="Arial"/>
        </w:rPr>
        <w:t xml:space="preserve"> por meio da </w:t>
      </w:r>
      <w:r w:rsidR="007D09CB" w:rsidRPr="007D09CB">
        <w:rPr>
          <w:rFonts w:ascii="Arial" w:hAnsi="Arial" w:cs="Arial"/>
        </w:rPr>
        <w:t>R</w:t>
      </w:r>
      <w:r w:rsidR="00FC19FE">
        <w:rPr>
          <w:rFonts w:ascii="Arial" w:hAnsi="Arial" w:cs="Arial"/>
        </w:rPr>
        <w:t>esolução</w:t>
      </w:r>
      <w:r w:rsidR="007D09CB" w:rsidRPr="007D09CB">
        <w:rPr>
          <w:rFonts w:ascii="Arial" w:hAnsi="Arial" w:cs="Arial"/>
        </w:rPr>
        <w:t xml:space="preserve"> CNE/CP Nº 4, </w:t>
      </w:r>
      <w:r w:rsidR="00FC19FE">
        <w:rPr>
          <w:rFonts w:ascii="Arial" w:hAnsi="Arial" w:cs="Arial"/>
        </w:rPr>
        <w:t>de</w:t>
      </w:r>
      <w:r w:rsidR="007D09CB" w:rsidRPr="007D09CB">
        <w:rPr>
          <w:rFonts w:ascii="Arial" w:hAnsi="Arial" w:cs="Arial"/>
        </w:rPr>
        <w:t xml:space="preserve"> 29 </w:t>
      </w:r>
      <w:r w:rsidR="00FC19FE">
        <w:rPr>
          <w:rFonts w:ascii="Arial" w:hAnsi="Arial" w:cs="Arial"/>
        </w:rPr>
        <w:t>de maio</w:t>
      </w:r>
      <w:r w:rsidR="007D09CB" w:rsidRPr="007D09CB">
        <w:rPr>
          <w:rFonts w:ascii="Arial" w:hAnsi="Arial" w:cs="Arial"/>
        </w:rPr>
        <w:t xml:space="preserve"> </w:t>
      </w:r>
      <w:r w:rsidR="00FC19FE">
        <w:rPr>
          <w:rFonts w:ascii="Arial" w:hAnsi="Arial" w:cs="Arial"/>
        </w:rPr>
        <w:t>de</w:t>
      </w:r>
      <w:r w:rsidR="007D09CB" w:rsidRPr="007D09CB">
        <w:rPr>
          <w:rFonts w:ascii="Arial" w:hAnsi="Arial" w:cs="Arial"/>
        </w:rPr>
        <w:t xml:space="preserve"> 2024</w:t>
      </w:r>
      <w:r w:rsidR="007D09CB">
        <w:rPr>
          <w:rFonts w:ascii="Arial" w:hAnsi="Arial" w:cs="Arial"/>
        </w:rPr>
        <w:t xml:space="preserve">, </w:t>
      </w:r>
      <w:r w:rsidR="007D09CB" w:rsidRPr="007D09CB">
        <w:rPr>
          <w:rFonts w:ascii="Arial" w:hAnsi="Arial" w:cs="Arial"/>
        </w:rPr>
        <w:t>as Diretrizes Curriculares Nacionais para a Formação Inicial em Nível Superior de Profissionais do Magistério da Educação Escolar Básica</w:t>
      </w:r>
      <w:r w:rsidR="00762558">
        <w:rPr>
          <w:rFonts w:ascii="Arial" w:hAnsi="Arial" w:cs="Arial"/>
        </w:rPr>
        <w:t>.</w:t>
      </w:r>
    </w:p>
    <w:p w14:paraId="467E293F" w14:textId="37EB8687" w:rsidR="001E2153" w:rsidRPr="00A861C7" w:rsidRDefault="001E2153" w:rsidP="00A861C7">
      <w:pPr>
        <w:pStyle w:val="Recuodecorpodetexto"/>
        <w:spacing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proposição deste trabalho é </w:t>
      </w:r>
      <w:r w:rsidR="000B0619">
        <w:rPr>
          <w:rFonts w:ascii="Arial" w:hAnsi="Arial" w:cs="Arial"/>
        </w:rPr>
        <w:t>tratar conceitualmente d</w:t>
      </w:r>
      <w:r w:rsidR="00790454">
        <w:rPr>
          <w:rFonts w:ascii="Arial" w:hAnsi="Arial" w:cs="Arial"/>
        </w:rPr>
        <w:t xml:space="preserve">a docência na escola, instituição social imprescindível para a formação humana, bem como </w:t>
      </w:r>
      <w:r>
        <w:rPr>
          <w:rFonts w:ascii="Arial" w:hAnsi="Arial" w:cs="Arial"/>
        </w:rPr>
        <w:t xml:space="preserve">apresentar uma concepção de docência no contraponto da que é </w:t>
      </w:r>
      <w:r w:rsidR="00FC19FE">
        <w:rPr>
          <w:rFonts w:ascii="Arial" w:hAnsi="Arial" w:cs="Arial"/>
        </w:rPr>
        <w:t>expressa na Resolução CNE/CP nº. 4 de 2024</w:t>
      </w:r>
      <w:r w:rsidR="00790454">
        <w:rPr>
          <w:rFonts w:ascii="Arial" w:hAnsi="Arial" w:cs="Arial"/>
        </w:rPr>
        <w:t>.</w:t>
      </w:r>
    </w:p>
    <w:p w14:paraId="600F1E8A" w14:textId="77777777" w:rsidR="00A861C7" w:rsidRDefault="00A861C7" w:rsidP="00A861C7">
      <w:pPr>
        <w:spacing w:after="0" w:line="240" w:lineRule="auto"/>
        <w:jc w:val="both"/>
        <w:rPr>
          <w:rFonts w:ascii="Arial" w:hAnsi="Arial" w:cs="Arial"/>
        </w:rPr>
      </w:pPr>
    </w:p>
    <w:p w14:paraId="3F9D3B60" w14:textId="52D0F524" w:rsidR="00790454" w:rsidRPr="00790454" w:rsidRDefault="00790454" w:rsidP="00FC19F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90454">
        <w:rPr>
          <w:rFonts w:ascii="Arial" w:hAnsi="Arial" w:cs="Arial"/>
          <w:b/>
          <w:bCs/>
        </w:rPr>
        <w:t>Antes da docência, a escola</w:t>
      </w:r>
    </w:p>
    <w:p w14:paraId="7C65C9A8" w14:textId="77777777" w:rsidR="00790454" w:rsidRDefault="00790454" w:rsidP="00790454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11B385E5" w14:textId="368E956B" w:rsidR="00790454" w:rsidRPr="00790454" w:rsidRDefault="00790454" w:rsidP="00D90D8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790454">
        <w:rPr>
          <w:rFonts w:ascii="Arial" w:hAnsi="Arial" w:cs="Arial"/>
        </w:rPr>
        <w:t>Coêlho (2012, p. 59 – 86) nos ensina que diversos setores da sociedade veem a escola como uma organização que tem a função de executar atividades administrativas e prestar serviços à sociedade. Ao equiparar a escola a uma organização qualquer</w:t>
      </w:r>
      <w:r>
        <w:rPr>
          <w:rFonts w:ascii="Arial" w:hAnsi="Arial" w:cs="Arial"/>
        </w:rPr>
        <w:t>,</w:t>
      </w:r>
      <w:r w:rsidRPr="00790454">
        <w:rPr>
          <w:rFonts w:ascii="Arial" w:hAnsi="Arial" w:cs="Arial"/>
        </w:rPr>
        <w:t xml:space="preserve"> retira dela sua capacidade de agente transformadora. </w:t>
      </w:r>
    </w:p>
    <w:p w14:paraId="4602F476" w14:textId="77777777" w:rsidR="00790454" w:rsidRDefault="00790454" w:rsidP="00D90D8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790454">
        <w:rPr>
          <w:rFonts w:ascii="Arial" w:hAnsi="Arial" w:cs="Arial"/>
        </w:rPr>
        <w:t>O autor traz uma reflexão sobre a necessidade de</w:t>
      </w:r>
      <w:r>
        <w:rPr>
          <w:rFonts w:ascii="Arial" w:hAnsi="Arial" w:cs="Arial"/>
        </w:rPr>
        <w:t>,</w:t>
      </w:r>
      <w:r w:rsidRPr="00790454">
        <w:rPr>
          <w:rFonts w:ascii="Arial" w:hAnsi="Arial" w:cs="Arial"/>
        </w:rPr>
        <w:t xml:space="preserve"> primeiro compreender o que é a escola, qual sua natureza e finalidade, qual o sentido, os pressupostos e as implicações, qual a sua natureza e o que a constitui, para depois discutir possíveis reformas.  Discutir a finalidade e a natureza da escola é sair da simples experiência da observação</w:t>
      </w:r>
      <w:r>
        <w:rPr>
          <w:rFonts w:ascii="Arial" w:hAnsi="Arial" w:cs="Arial"/>
        </w:rPr>
        <w:t>,</w:t>
      </w:r>
      <w:r w:rsidRPr="00790454">
        <w:rPr>
          <w:rFonts w:ascii="Arial" w:hAnsi="Arial" w:cs="Arial"/>
        </w:rPr>
        <w:t xml:space="preserve"> é sair do senso comum. </w:t>
      </w:r>
    </w:p>
    <w:p w14:paraId="740786BC" w14:textId="0A40BF84" w:rsidR="00790454" w:rsidRPr="00790454" w:rsidRDefault="00790454" w:rsidP="00D90D8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790454">
        <w:rPr>
          <w:rFonts w:ascii="Arial" w:hAnsi="Arial" w:cs="Arial"/>
        </w:rPr>
        <w:t xml:space="preserve">A escola </w:t>
      </w:r>
      <w:r>
        <w:rPr>
          <w:rFonts w:ascii="Arial" w:hAnsi="Arial" w:cs="Arial"/>
        </w:rPr>
        <w:t>atual, tensionada a</w:t>
      </w:r>
      <w:r w:rsidRPr="00790454">
        <w:rPr>
          <w:rFonts w:ascii="Arial" w:hAnsi="Arial" w:cs="Arial"/>
        </w:rPr>
        <w:t xml:space="preserve"> buscar bons resultados nas avaliações, </w:t>
      </w:r>
      <w:r>
        <w:rPr>
          <w:rFonts w:ascii="Arial" w:hAnsi="Arial" w:cs="Arial"/>
        </w:rPr>
        <w:t xml:space="preserve">apresentar </w:t>
      </w:r>
      <w:r w:rsidRPr="00790454">
        <w:rPr>
          <w:rFonts w:ascii="Arial" w:hAnsi="Arial" w:cs="Arial"/>
        </w:rPr>
        <w:t>eficiência, eficácia e sucesso na vida e no trabalho,</w:t>
      </w:r>
      <w:r>
        <w:rPr>
          <w:rFonts w:ascii="Arial" w:hAnsi="Arial" w:cs="Arial"/>
        </w:rPr>
        <w:t xml:space="preserve"> se propõe a</w:t>
      </w:r>
      <w:r w:rsidRPr="00790454">
        <w:rPr>
          <w:rFonts w:ascii="Arial" w:hAnsi="Arial" w:cs="Arial"/>
        </w:rPr>
        <w:t xml:space="preserve"> atender os interesses de grupos e do Estado. Dessa forma, a escola é reduzida </w:t>
      </w:r>
      <w:r>
        <w:rPr>
          <w:rFonts w:ascii="Arial" w:hAnsi="Arial" w:cs="Arial"/>
        </w:rPr>
        <w:t>à</w:t>
      </w:r>
      <w:r w:rsidRPr="00790454">
        <w:rPr>
          <w:rFonts w:ascii="Arial" w:hAnsi="Arial" w:cs="Arial"/>
        </w:rPr>
        <w:t xml:space="preserve"> organização</w:t>
      </w:r>
      <w:r w:rsidR="009374D2">
        <w:rPr>
          <w:rFonts w:ascii="Arial" w:hAnsi="Arial" w:cs="Arial"/>
        </w:rPr>
        <w:t>,</w:t>
      </w:r>
      <w:r w:rsidRPr="00790454">
        <w:rPr>
          <w:rFonts w:ascii="Arial" w:hAnsi="Arial" w:cs="Arial"/>
        </w:rPr>
        <w:t xml:space="preserve"> pois prevalece o operacional</w:t>
      </w:r>
      <w:r w:rsidR="009374D2">
        <w:rPr>
          <w:rFonts w:ascii="Arial" w:hAnsi="Arial" w:cs="Arial"/>
        </w:rPr>
        <w:t>,</w:t>
      </w:r>
      <w:r w:rsidRPr="00790454">
        <w:rPr>
          <w:rFonts w:ascii="Arial" w:hAnsi="Arial" w:cs="Arial"/>
        </w:rPr>
        <w:t xml:space="preserve"> em que os conhecimentos são a</w:t>
      </w:r>
      <w:r w:rsidR="009374D2">
        <w:rPr>
          <w:rFonts w:ascii="Arial" w:hAnsi="Arial" w:cs="Arial"/>
        </w:rPr>
        <w:t>s</w:t>
      </w:r>
      <w:r w:rsidRPr="00790454">
        <w:rPr>
          <w:rFonts w:ascii="Arial" w:hAnsi="Arial" w:cs="Arial"/>
        </w:rPr>
        <w:t xml:space="preserve"> informações, verdades prontas e acabadas, algo a ser transmitido aos estudantes para ser consumido e apropriado na intenção de desenvolver habilidades técnicas</w:t>
      </w:r>
      <w:r w:rsidR="009374D2">
        <w:rPr>
          <w:rFonts w:ascii="Arial" w:hAnsi="Arial" w:cs="Arial"/>
        </w:rPr>
        <w:t>,</w:t>
      </w:r>
      <w:r w:rsidRPr="00790454">
        <w:rPr>
          <w:rFonts w:ascii="Arial" w:hAnsi="Arial" w:cs="Arial"/>
        </w:rPr>
        <w:t xml:space="preserve"> privilegiando o saber fazer. </w:t>
      </w:r>
      <w:r w:rsidR="009374D2">
        <w:rPr>
          <w:rFonts w:ascii="Arial" w:hAnsi="Arial" w:cs="Arial"/>
        </w:rPr>
        <w:t>A</w:t>
      </w:r>
      <w:r w:rsidRPr="00790454">
        <w:rPr>
          <w:rFonts w:ascii="Arial" w:hAnsi="Arial" w:cs="Arial"/>
        </w:rPr>
        <w:t xml:space="preserve"> escola</w:t>
      </w:r>
      <w:r w:rsidR="009374D2">
        <w:rPr>
          <w:rFonts w:ascii="Arial" w:hAnsi="Arial" w:cs="Arial"/>
        </w:rPr>
        <w:t>,</w:t>
      </w:r>
      <w:r w:rsidRPr="00790454">
        <w:rPr>
          <w:rFonts w:ascii="Arial" w:hAnsi="Arial" w:cs="Arial"/>
        </w:rPr>
        <w:t xml:space="preserve"> vista como organização</w:t>
      </w:r>
      <w:r w:rsidR="009374D2">
        <w:rPr>
          <w:rFonts w:ascii="Arial" w:hAnsi="Arial" w:cs="Arial"/>
        </w:rPr>
        <w:t>,</w:t>
      </w:r>
      <w:r w:rsidRPr="00790454">
        <w:rPr>
          <w:rFonts w:ascii="Arial" w:hAnsi="Arial" w:cs="Arial"/>
        </w:rPr>
        <w:t xml:space="preserve"> perde sua razão de ser tornando-se um instrumento para que os indivíduos alcancem sucesso no trabalho ou nos concursos. Essa escola fragmenta o saber reduzindo-o a uma coisa que pode ser guardado, consumido </w:t>
      </w:r>
      <w:r w:rsidRPr="00790454">
        <w:rPr>
          <w:rFonts w:ascii="Arial" w:hAnsi="Arial" w:cs="Arial"/>
        </w:rPr>
        <w:lastRenderedPageBreak/>
        <w:t xml:space="preserve">ou dividido. </w:t>
      </w:r>
      <w:r w:rsidR="009374D2">
        <w:rPr>
          <w:rFonts w:ascii="Arial" w:hAnsi="Arial" w:cs="Arial"/>
        </w:rPr>
        <w:t>Nesse parâmetro,</w:t>
      </w:r>
      <w:r w:rsidR="009374D2" w:rsidRPr="00790454">
        <w:rPr>
          <w:rFonts w:ascii="Arial" w:hAnsi="Arial" w:cs="Arial"/>
        </w:rPr>
        <w:t xml:space="preserve"> ensinar se reduz </w:t>
      </w:r>
      <w:r w:rsidR="009374D2">
        <w:rPr>
          <w:rFonts w:ascii="Arial" w:hAnsi="Arial" w:cs="Arial"/>
        </w:rPr>
        <w:t>à</w:t>
      </w:r>
      <w:r w:rsidR="009374D2" w:rsidRPr="00790454">
        <w:rPr>
          <w:rFonts w:ascii="Arial" w:hAnsi="Arial" w:cs="Arial"/>
        </w:rPr>
        <w:t xml:space="preserve"> transmissão de conhecimentos fragmentados que devem ser memorizados, guardados e consumidos pelos estudantes. </w:t>
      </w:r>
      <w:r w:rsidRPr="00790454">
        <w:rPr>
          <w:rFonts w:ascii="Arial" w:hAnsi="Arial" w:cs="Arial"/>
        </w:rPr>
        <w:t>Ao fragmentar o conhecimento em partes</w:t>
      </w:r>
      <w:r w:rsidR="009374D2">
        <w:rPr>
          <w:rFonts w:ascii="Arial" w:hAnsi="Arial" w:cs="Arial"/>
        </w:rPr>
        <w:t>,</w:t>
      </w:r>
      <w:r w:rsidRPr="00790454">
        <w:rPr>
          <w:rFonts w:ascii="Arial" w:hAnsi="Arial" w:cs="Arial"/>
        </w:rPr>
        <w:t xml:space="preserve"> retira-se do estudante a oportunidade do contato com o conhecimento completo que oportuniza o aprendizado, retira dele o prazer da descoberta, da indagação, da reflexão, ou seja, </w:t>
      </w:r>
      <w:r w:rsidR="009374D2">
        <w:rPr>
          <w:rFonts w:ascii="Arial" w:hAnsi="Arial" w:cs="Arial"/>
        </w:rPr>
        <w:t xml:space="preserve">o </w:t>
      </w:r>
      <w:r w:rsidRPr="00790454">
        <w:rPr>
          <w:rFonts w:ascii="Arial" w:hAnsi="Arial" w:cs="Arial"/>
        </w:rPr>
        <w:t xml:space="preserve">transforma em mero consumidor de algo que já está pronto e acabado. </w:t>
      </w:r>
    </w:p>
    <w:p w14:paraId="5FC8D8B3" w14:textId="0994CFAB" w:rsidR="00790454" w:rsidRPr="00790454" w:rsidRDefault="009374D2" w:rsidP="00D90D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Coêlho </w:t>
      </w:r>
      <w:r w:rsidRPr="00790454">
        <w:rPr>
          <w:rFonts w:ascii="Arial" w:hAnsi="Arial" w:cs="Arial"/>
        </w:rPr>
        <w:t xml:space="preserve">(2012, p. 59 – 86) </w:t>
      </w:r>
      <w:r w:rsidR="00790454" w:rsidRPr="00790454">
        <w:rPr>
          <w:rFonts w:ascii="Arial" w:hAnsi="Arial" w:cs="Arial"/>
        </w:rPr>
        <w:t>nos mostra que</w:t>
      </w:r>
      <w:r>
        <w:rPr>
          <w:rFonts w:ascii="Arial" w:hAnsi="Arial" w:cs="Arial"/>
        </w:rPr>
        <w:t xml:space="preserve"> a</w:t>
      </w:r>
      <w:r w:rsidR="00790454" w:rsidRPr="00790454">
        <w:rPr>
          <w:rFonts w:ascii="Arial" w:hAnsi="Arial" w:cs="Arial"/>
        </w:rPr>
        <w:t xml:space="preserve"> escola considerada boa é essa que consegue ser eficiente, produtiva e incorpora o uso das novas tecnologias nas aulas apresentando o mesmo conteúdo fragmentado, mas agora de uma maneira “inovadora”</w:t>
      </w:r>
      <w:r w:rsidR="0016612C">
        <w:rPr>
          <w:rFonts w:ascii="Arial" w:hAnsi="Arial" w:cs="Arial"/>
        </w:rPr>
        <w:t>, p</w:t>
      </w:r>
      <w:r w:rsidR="00790454" w:rsidRPr="00790454">
        <w:rPr>
          <w:rFonts w:ascii="Arial" w:hAnsi="Arial" w:cs="Arial"/>
        </w:rPr>
        <w:t>or conseguinte, matam o desejo de aprender, pois o ensino deixa de ser a arte de conduzir o estudante a produzir novos conhecimentos por meio de questionamentos.</w:t>
      </w:r>
    </w:p>
    <w:p w14:paraId="372E355A" w14:textId="2CEF8360" w:rsidR="00790454" w:rsidRPr="00790454" w:rsidRDefault="00790454" w:rsidP="00D90D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790454">
        <w:rPr>
          <w:rFonts w:ascii="Arial" w:hAnsi="Arial" w:cs="Arial"/>
        </w:rPr>
        <w:t xml:space="preserve">O ser da escola não é mera preparação de pessoas para servir empresas e o Estado, mas como instituição de ensino que cultive a interrogação do saber que possibilita a criação de novos saberes. O saber não é algo divisível, ele requer esforço, estudo, disciplina, dedicação, questionamentos e provocações na busca da criação de novos saberes. </w:t>
      </w:r>
    </w:p>
    <w:p w14:paraId="02C18DDF" w14:textId="7407CA87" w:rsidR="00790454" w:rsidRDefault="00790454" w:rsidP="00D90D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790454">
        <w:rPr>
          <w:rFonts w:ascii="Arial" w:hAnsi="Arial" w:cs="Arial"/>
        </w:rPr>
        <w:t xml:space="preserve">O professor deve ser um agente ativo no processo educativo, ou seja, sua função vai além da simples transmissão de </w:t>
      </w:r>
      <w:r w:rsidR="00B831BB" w:rsidRPr="00790454">
        <w:rPr>
          <w:rFonts w:ascii="Arial" w:hAnsi="Arial" w:cs="Arial"/>
        </w:rPr>
        <w:t>conteúdo</w:t>
      </w:r>
      <w:r w:rsidRPr="00790454">
        <w:rPr>
          <w:rFonts w:ascii="Arial" w:hAnsi="Arial" w:cs="Arial"/>
        </w:rPr>
        <w:t>. Ele deve considerar os conhecimentos que os alunos já trazem consigo, não só</w:t>
      </w:r>
      <w:r w:rsidR="009374D2">
        <w:rPr>
          <w:rFonts w:ascii="Arial" w:hAnsi="Arial" w:cs="Arial"/>
        </w:rPr>
        <w:t>,</w:t>
      </w:r>
      <w:r w:rsidRPr="00790454">
        <w:rPr>
          <w:rFonts w:ascii="Arial" w:hAnsi="Arial" w:cs="Arial"/>
        </w:rPr>
        <w:t xml:space="preserve"> mas também, deve promover o ensino por meio da reflexão crítica articulando as novas indagações com os conhecimentos </w:t>
      </w:r>
      <w:r w:rsidR="009374D2">
        <w:rPr>
          <w:rFonts w:ascii="Arial" w:hAnsi="Arial" w:cs="Arial"/>
        </w:rPr>
        <w:t>já construídos pelos</w:t>
      </w:r>
      <w:r w:rsidRPr="00790454">
        <w:rPr>
          <w:rFonts w:ascii="Arial" w:hAnsi="Arial" w:cs="Arial"/>
        </w:rPr>
        <w:t xml:space="preserve"> estudantes.  Dessa forma, o docente rompe com as formas instituídas, pois provoca a curiosidade do saber vivo que amplia o modo de pensar e consequentemente aguça a criticidade que faz com que criem novos saberes. Assim, a escola torna-se instituição que ensina a pensar o real e o imaginário contrapondo-se </w:t>
      </w:r>
      <w:r w:rsidR="009374D2">
        <w:rPr>
          <w:rFonts w:ascii="Arial" w:hAnsi="Arial" w:cs="Arial"/>
        </w:rPr>
        <w:t xml:space="preserve">à </w:t>
      </w:r>
      <w:r w:rsidRPr="00790454">
        <w:rPr>
          <w:rFonts w:ascii="Arial" w:hAnsi="Arial" w:cs="Arial"/>
        </w:rPr>
        <w:t xml:space="preserve">aceitação do que está sendo posto como verdade pronta e acabada. </w:t>
      </w:r>
    </w:p>
    <w:p w14:paraId="6C08CCEC" w14:textId="4334501F" w:rsidR="00790454" w:rsidRDefault="00903DD8" w:rsidP="00D90D8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ensino, na perspectiva da docência instrumentalizadora,</w:t>
      </w:r>
      <w:r w:rsidRPr="00FC19FE">
        <w:rPr>
          <w:rFonts w:ascii="Arial" w:hAnsi="Arial" w:cs="Arial"/>
        </w:rPr>
        <w:t xml:space="preserve"> é visto como transmissão de conteúdos, e não possibilita ao estudante a busca pelo aprendizado e o cultivo do pensamento, da reflexão e da crítica. A escola como </w:t>
      </w:r>
      <w:r w:rsidRPr="00FC19FE">
        <w:rPr>
          <w:rFonts w:ascii="Arial" w:hAnsi="Arial" w:cs="Arial"/>
        </w:rPr>
        <w:lastRenderedPageBreak/>
        <w:t xml:space="preserve">instituição se define pela natureza de sua finalidade, </w:t>
      </w:r>
      <w:r>
        <w:rPr>
          <w:rFonts w:ascii="Arial" w:hAnsi="Arial" w:cs="Arial"/>
        </w:rPr>
        <w:t>em que</w:t>
      </w:r>
      <w:r w:rsidRPr="00FC19FE">
        <w:rPr>
          <w:rFonts w:ascii="Arial" w:hAnsi="Arial" w:cs="Arial"/>
        </w:rPr>
        <w:t xml:space="preserve"> o saber não tem dono. O ato de pensar é interrogar a razão, as verdades, e a própria existência humana. A escola, a educação e a universidade são imprescindíveis para a continuidade da existência humana. É o local de formação humana.</w:t>
      </w:r>
    </w:p>
    <w:p w14:paraId="07B002EB" w14:textId="77777777" w:rsidR="00790454" w:rsidRDefault="00790454" w:rsidP="00790454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4AE9D8C1" w14:textId="0DFB95D7" w:rsidR="00FC19FE" w:rsidRPr="00AD6A7D" w:rsidRDefault="00FC19FE" w:rsidP="00FC19F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6A7D">
        <w:rPr>
          <w:rFonts w:ascii="Arial" w:hAnsi="Arial" w:cs="Arial"/>
          <w:b/>
          <w:bCs/>
        </w:rPr>
        <w:t xml:space="preserve">A docência como princípio formativo </w:t>
      </w:r>
    </w:p>
    <w:p w14:paraId="5BA0732A" w14:textId="77777777" w:rsidR="00FC19FE" w:rsidRDefault="00FC19FE" w:rsidP="00FC19FE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41B77E7F" w14:textId="519D4F53" w:rsidR="00AF5C7F" w:rsidRDefault="00AF5C7F" w:rsidP="00AF5C7F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903DD8">
        <w:rPr>
          <w:rFonts w:ascii="Arial" w:hAnsi="Arial" w:cs="Arial"/>
        </w:rPr>
        <w:t xml:space="preserve">§ 2º </w:t>
      </w:r>
      <w:r>
        <w:rPr>
          <w:rFonts w:ascii="Arial" w:hAnsi="Arial" w:cs="Arial"/>
        </w:rPr>
        <w:t xml:space="preserve">do Art. 2 da Resolução CNE/CP nº. 4 de 2024, apresenta a concepção de docência que orienta todo o documento e por sua vez, norteia as </w:t>
      </w:r>
      <w:r w:rsidRPr="007D09CB">
        <w:rPr>
          <w:rFonts w:ascii="Arial" w:hAnsi="Arial" w:cs="Arial"/>
        </w:rPr>
        <w:t>Diretrizes Curriculares Nacionais para a Formação Inicial em Nível Superior de Profissionais do Magistério da Educação Escolar Básica</w:t>
      </w:r>
      <w:r w:rsidR="00587054">
        <w:rPr>
          <w:rFonts w:ascii="Arial" w:hAnsi="Arial" w:cs="Arial"/>
        </w:rPr>
        <w:t>, a saber:</w:t>
      </w:r>
    </w:p>
    <w:p w14:paraId="45086AB3" w14:textId="77777777" w:rsidR="00AF5C7F" w:rsidRDefault="00AF5C7F" w:rsidP="00AF5C7F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</w:rPr>
      </w:pPr>
    </w:p>
    <w:p w14:paraId="7C69E0FB" w14:textId="377CAD12" w:rsidR="00FC19FE" w:rsidRPr="00AF5C7F" w:rsidRDefault="00903DD8" w:rsidP="00AF5C7F">
      <w:pPr>
        <w:pStyle w:val="PargrafodaLista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F5C7F">
        <w:rPr>
          <w:rFonts w:ascii="Arial" w:hAnsi="Arial" w:cs="Arial"/>
          <w:sz w:val="20"/>
          <w:szCs w:val="20"/>
        </w:rPr>
        <w:t>§ 2º Compreende-se o exercício da docência como ação educativa, a partir da condução de processos pedagógicos intencionais e metódicos, os quais baseiam-se em conhecimentos e conceitos próprios da docência e das especificidades das diferentes áreas do conhecimento, incluindo o domínio e manejo de conteúdos e metodologias, diferentes linguagens, tecnologias, evidências científicas e inovações</w:t>
      </w:r>
    </w:p>
    <w:p w14:paraId="7A86E289" w14:textId="77777777" w:rsidR="00FC19FE" w:rsidRDefault="00FC19FE" w:rsidP="00FC19FE">
      <w:pPr>
        <w:pStyle w:val="PargrafodaLista"/>
        <w:spacing w:after="0" w:line="240" w:lineRule="auto"/>
        <w:ind w:left="0" w:firstLine="851"/>
        <w:jc w:val="both"/>
        <w:rPr>
          <w:rFonts w:ascii="Arial" w:hAnsi="Arial" w:cs="Arial"/>
        </w:rPr>
      </w:pPr>
    </w:p>
    <w:p w14:paraId="73340920" w14:textId="31138A6B" w:rsidR="003A1446" w:rsidRDefault="003A1446" w:rsidP="00E645EB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E645EB">
        <w:rPr>
          <w:rFonts w:ascii="Arial" w:hAnsi="Arial" w:cs="Arial"/>
        </w:rPr>
        <w:t>parágrafo</w:t>
      </w:r>
      <w:r>
        <w:rPr>
          <w:rFonts w:ascii="Arial" w:hAnsi="Arial" w:cs="Arial"/>
        </w:rPr>
        <w:t xml:space="preserve"> acima remete </w:t>
      </w:r>
      <w:r w:rsidR="00E645EB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ideia de exercício da docência como ação educativa, o que podemos conceber como importante na condução de processos pedagógicos intencionais e metódicos, como </w:t>
      </w:r>
      <w:r w:rsidR="00E645EB">
        <w:rPr>
          <w:rFonts w:ascii="Arial" w:hAnsi="Arial" w:cs="Arial"/>
        </w:rPr>
        <w:t>é afirmado</w:t>
      </w:r>
      <w:r>
        <w:rPr>
          <w:rFonts w:ascii="Arial" w:hAnsi="Arial" w:cs="Arial"/>
        </w:rPr>
        <w:t xml:space="preserve">. </w:t>
      </w:r>
      <w:r w:rsidR="00E645EB">
        <w:rPr>
          <w:rFonts w:ascii="Arial" w:hAnsi="Arial" w:cs="Arial"/>
        </w:rPr>
        <w:t>A docência, c</w:t>
      </w:r>
      <w:r>
        <w:rPr>
          <w:rFonts w:ascii="Arial" w:hAnsi="Arial" w:cs="Arial"/>
        </w:rPr>
        <w:t xml:space="preserve">onstitui-se com conhecimentos e conceitos próprios, </w:t>
      </w:r>
      <w:r w:rsidR="00E645EB">
        <w:rPr>
          <w:rFonts w:ascii="Arial" w:hAnsi="Arial" w:cs="Arial"/>
        </w:rPr>
        <w:t xml:space="preserve">o que também podemos concordar, </w:t>
      </w:r>
      <w:r>
        <w:rPr>
          <w:rFonts w:ascii="Arial" w:hAnsi="Arial" w:cs="Arial"/>
        </w:rPr>
        <w:t>porém</w:t>
      </w:r>
      <w:r w:rsidR="00E645EB">
        <w:rPr>
          <w:rFonts w:ascii="Arial" w:hAnsi="Arial" w:cs="Arial"/>
        </w:rPr>
        <w:t>, o texto do parágrafo</w:t>
      </w:r>
      <w:r>
        <w:rPr>
          <w:rFonts w:ascii="Arial" w:hAnsi="Arial" w:cs="Arial"/>
        </w:rPr>
        <w:t xml:space="preserve"> e nem na sequência </w:t>
      </w:r>
      <w:r w:rsidR="00E645EB">
        <w:rPr>
          <w:rFonts w:ascii="Arial" w:hAnsi="Arial" w:cs="Arial"/>
        </w:rPr>
        <w:t xml:space="preserve">do texto </w:t>
      </w:r>
      <w:r>
        <w:rPr>
          <w:rFonts w:ascii="Arial" w:hAnsi="Arial" w:cs="Arial"/>
        </w:rPr>
        <w:t>da Resolução analisada, não fica claro quais são esses conhecimentos e conceito</w:t>
      </w:r>
      <w:r w:rsidR="00E645EB">
        <w:rPr>
          <w:rFonts w:ascii="Arial" w:hAnsi="Arial" w:cs="Arial"/>
        </w:rPr>
        <w:t>s apontados.</w:t>
      </w:r>
    </w:p>
    <w:p w14:paraId="4DB50D2C" w14:textId="4A3391DF" w:rsidR="003A1446" w:rsidRDefault="003A1446" w:rsidP="00E645EB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segunda metade do parágrafo, o texto legal inclui o que </w:t>
      </w:r>
      <w:r w:rsidR="00E645EB">
        <w:rPr>
          <w:rFonts w:ascii="Arial" w:hAnsi="Arial" w:cs="Arial"/>
        </w:rPr>
        <w:t>destaca</w:t>
      </w:r>
      <w:r>
        <w:rPr>
          <w:rFonts w:ascii="Arial" w:hAnsi="Arial" w:cs="Arial"/>
        </w:rPr>
        <w:t xml:space="preserve"> como elementos importantes para a docência</w:t>
      </w:r>
      <w:r w:rsidR="00E645EB">
        <w:rPr>
          <w:rFonts w:ascii="Arial" w:hAnsi="Arial" w:cs="Arial"/>
        </w:rPr>
        <w:t>, quais sejam: domínio e manejo de conteúdos e metodologias, diferentes linguagens (perguntamos, quais?), tecnologias</w:t>
      </w:r>
      <w:r w:rsidR="00B569A4">
        <w:rPr>
          <w:rFonts w:ascii="Arial" w:hAnsi="Arial" w:cs="Arial"/>
        </w:rPr>
        <w:t>;</w:t>
      </w:r>
      <w:r w:rsidR="00E645EB">
        <w:rPr>
          <w:rFonts w:ascii="Arial" w:hAnsi="Arial" w:cs="Arial"/>
        </w:rPr>
        <w:t xml:space="preserve"> e o texto apoia-se em evidências científicas e inovações.</w:t>
      </w:r>
      <w:r>
        <w:rPr>
          <w:rFonts w:ascii="Arial" w:hAnsi="Arial" w:cs="Arial"/>
        </w:rPr>
        <w:t xml:space="preserve"> </w:t>
      </w:r>
      <w:r w:rsidR="00E645EB">
        <w:rPr>
          <w:rFonts w:ascii="Arial" w:hAnsi="Arial" w:cs="Arial"/>
        </w:rPr>
        <w:t xml:space="preserve">Ora, ao que parece, </w:t>
      </w:r>
      <w:r w:rsidR="00B569A4">
        <w:rPr>
          <w:rFonts w:ascii="Arial" w:hAnsi="Arial" w:cs="Arial"/>
        </w:rPr>
        <w:t>a concepção de docência no texto legal vai ao encontro do que fazer, aproximando-se de elementos da didática e não dos princípios que devem fundamentar a docência no âmbito da formação de professores.</w:t>
      </w:r>
    </w:p>
    <w:p w14:paraId="3A979500" w14:textId="77777777" w:rsidR="00D90D8D" w:rsidRDefault="00324FC1" w:rsidP="00E645EB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 perspectiva de evidências científicas e inovações,</w:t>
      </w:r>
      <w:r w:rsidR="00D90D8D">
        <w:rPr>
          <w:rFonts w:ascii="Arial" w:hAnsi="Arial" w:cs="Arial"/>
        </w:rPr>
        <w:t xml:space="preserve"> Devechi, Trevisan e Censi (2022, p. 03), avaliam que </w:t>
      </w:r>
      <w:r>
        <w:rPr>
          <w:rFonts w:ascii="Arial" w:hAnsi="Arial" w:cs="Arial"/>
        </w:rPr>
        <w:t xml:space="preserve"> </w:t>
      </w:r>
    </w:p>
    <w:p w14:paraId="6B5AE40D" w14:textId="77777777" w:rsidR="00D90D8D" w:rsidRDefault="00D90D8D" w:rsidP="00D90D8D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14:paraId="16AF5568" w14:textId="643BF60B" w:rsidR="00324FC1" w:rsidRDefault="00324FC1" w:rsidP="00D90D8D">
      <w:pPr>
        <w:pStyle w:val="PargrafodaLista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90D8D">
        <w:rPr>
          <w:rFonts w:ascii="Arial" w:hAnsi="Arial" w:cs="Arial"/>
          <w:sz w:val="20"/>
          <w:szCs w:val="20"/>
        </w:rPr>
        <w:t>A compreensão dos defensores dessa tese é de que as evidências científicas, por serem de cunho preferencialmente objetivo, garantiriam a melhoria das práticas e, consequentemente, melhor posição nos </w:t>
      </w:r>
      <w:r w:rsidRPr="00D90D8D">
        <w:rPr>
          <w:rFonts w:ascii="Arial" w:hAnsi="Arial" w:cs="Arial"/>
          <w:i/>
          <w:iCs/>
          <w:sz w:val="20"/>
          <w:szCs w:val="20"/>
        </w:rPr>
        <w:t>rankings</w:t>
      </w:r>
      <w:r w:rsidRPr="00D90D8D">
        <w:rPr>
          <w:rFonts w:ascii="Arial" w:hAnsi="Arial" w:cs="Arial"/>
          <w:sz w:val="20"/>
          <w:szCs w:val="20"/>
        </w:rPr>
        <w:t> internacionais. Em vista disso, a abordagem tem sido utilizada como perspectiva promissora pelos gestores educacionais do MEC e do Conselho Nacional de Educação (CNE) nos últimos tempos, sendo, aos poucos, introduzida como solução científica para os problemas na educação básica e, em decorrência disso, também na formação de professores.</w:t>
      </w:r>
    </w:p>
    <w:p w14:paraId="3EED08B3" w14:textId="77777777" w:rsidR="00D90D8D" w:rsidRPr="00D90D8D" w:rsidRDefault="00D90D8D" w:rsidP="00D90D8D">
      <w:pPr>
        <w:pStyle w:val="PargrafodaLista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527B0AEA" w14:textId="6551A838" w:rsidR="00D90D8D" w:rsidRDefault="00D90D8D" w:rsidP="00E645EB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Os autores continuam sua análise e explicam que a</w:t>
      </w:r>
    </w:p>
    <w:p w14:paraId="05222BD5" w14:textId="77777777" w:rsidR="00D90D8D" w:rsidRDefault="00D90D8D" w:rsidP="00D90D8D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14:paraId="400553AC" w14:textId="001D751B" w:rsidR="00324FC1" w:rsidRPr="00D90D8D" w:rsidRDefault="00D90D8D" w:rsidP="00D90D8D">
      <w:pPr>
        <w:pStyle w:val="PargrafodaLista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90D8D">
        <w:rPr>
          <w:rFonts w:ascii="Arial" w:hAnsi="Arial" w:cs="Arial"/>
          <w:sz w:val="20"/>
          <w:szCs w:val="20"/>
        </w:rPr>
        <w:t>“[...]</w:t>
      </w:r>
      <w:r w:rsidR="00324FC1" w:rsidRPr="00D90D8D">
        <w:rPr>
          <w:rFonts w:ascii="Arial" w:hAnsi="Arial" w:cs="Arial"/>
          <w:sz w:val="20"/>
          <w:szCs w:val="20"/>
        </w:rPr>
        <w:t xml:space="preserve"> abordagem carrega consigo características metodológicas próprias, alicerçadas em dados objetivos em detrimento de aspectos qualitativos e das experiências profissionais </w:t>
      </w:r>
      <w:r w:rsidRPr="00D90D8D">
        <w:rPr>
          <w:rFonts w:ascii="Arial" w:hAnsi="Arial" w:cs="Arial"/>
          <w:sz w:val="20"/>
          <w:szCs w:val="20"/>
        </w:rPr>
        <w:t xml:space="preserve">[...]. </w:t>
      </w:r>
      <w:r w:rsidR="00324FC1" w:rsidRPr="00D90D8D">
        <w:rPr>
          <w:rFonts w:ascii="Arial" w:hAnsi="Arial" w:cs="Arial"/>
          <w:sz w:val="20"/>
          <w:szCs w:val="20"/>
        </w:rPr>
        <w:t>Alcançadas por testes randomizados e/ou experimentais, tais evidências são priorizadas em desvantagem das evidências produzidas pelas pesquisas de cunho interpretativo, que consideram as singularidades e os sentidos dos contextos específicos</w:t>
      </w:r>
      <w:r w:rsidRPr="00D90D8D">
        <w:rPr>
          <w:rFonts w:ascii="Arial" w:hAnsi="Arial" w:cs="Arial"/>
          <w:sz w:val="20"/>
          <w:szCs w:val="20"/>
        </w:rPr>
        <w:t xml:space="preserve"> [...]. </w:t>
      </w:r>
    </w:p>
    <w:p w14:paraId="37327643" w14:textId="77777777" w:rsidR="003A1446" w:rsidRDefault="003A1446" w:rsidP="00FC19FE">
      <w:pPr>
        <w:pStyle w:val="PargrafodaLista"/>
        <w:spacing w:after="0" w:line="240" w:lineRule="auto"/>
        <w:ind w:left="0" w:firstLine="851"/>
        <w:jc w:val="both"/>
        <w:rPr>
          <w:rFonts w:ascii="Arial" w:hAnsi="Arial" w:cs="Arial"/>
        </w:rPr>
      </w:pPr>
    </w:p>
    <w:p w14:paraId="3BF790C0" w14:textId="09AA537C" w:rsidR="00D90D8D" w:rsidRPr="00AD6A7D" w:rsidRDefault="00D90D8D" w:rsidP="00AD6A7D">
      <w:pPr>
        <w:pStyle w:val="Recuodecorpodetexto"/>
        <w:spacing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Na contramão dessa compreensão, apresentamos uma concepção de docência que se distancia da perspectiva pragmática, instrumentalizadora e técnica.</w:t>
      </w:r>
      <w:r w:rsidR="002B4CA0">
        <w:rPr>
          <w:rFonts w:ascii="Arial" w:hAnsi="Arial" w:cs="Arial"/>
        </w:rPr>
        <w:t xml:space="preserve"> </w:t>
      </w:r>
      <w:r w:rsidR="002B4CA0" w:rsidRPr="002B4CA0">
        <w:rPr>
          <w:rFonts w:ascii="Arial" w:hAnsi="Arial" w:cs="Arial"/>
        </w:rPr>
        <w:t>Em razão disso, ao considerarmos tão somente a racionalidade técnica, pragmática e mercadológica como parâmetro da educação, a prática docente se limita a um reducionismo atroz. Sem dúvida que o ofício do educador é o ensinar</w:t>
      </w:r>
      <w:r w:rsidR="0016612C">
        <w:rPr>
          <w:rFonts w:ascii="Arial" w:hAnsi="Arial" w:cs="Arial"/>
        </w:rPr>
        <w:t xml:space="preserve"> </w:t>
      </w:r>
      <w:r w:rsidR="002B4CA0" w:rsidRPr="002B4CA0">
        <w:rPr>
          <w:rFonts w:ascii="Arial" w:hAnsi="Arial" w:cs="Arial"/>
        </w:rPr>
        <w:t>por meio da relação intencional, ética e política que se estabelece com o outro e com o mundo.</w:t>
      </w:r>
    </w:p>
    <w:p w14:paraId="5C73A88E" w14:textId="77777777" w:rsidR="002B4CA0" w:rsidRDefault="002B4CA0" w:rsidP="002B4CA0">
      <w:pPr>
        <w:pStyle w:val="Recuodecorpodetexto"/>
        <w:spacing w:line="360" w:lineRule="auto"/>
        <w:ind w:left="0" w:firstLine="851"/>
        <w:jc w:val="both"/>
        <w:rPr>
          <w:rFonts w:ascii="Arial" w:hAnsi="Arial" w:cs="Arial"/>
        </w:rPr>
      </w:pPr>
      <w:r w:rsidRPr="002B4CA0">
        <w:rPr>
          <w:rFonts w:ascii="Arial" w:hAnsi="Arial" w:cs="Arial"/>
        </w:rPr>
        <w:t xml:space="preserve">A docência encontra-se como princípio formativo fundante e é, também, compreendida a partir de dois elementos básicos: a produção e socialização do conhecimento histórico-socialmente construído e os processos de humanização do homem.  Imersa no campo educacional, a concepção de docência não se dá de forma isolada das relações sociais e históricas que caracterizam a estrutura econômica e política desta sociedade, estas que estão subordinadas a interesses sociais, econômicos, políticos, educativos e ideológicos de grupos e classes sociais. Ou seja, concebe-se que a concepção de docência aqui defendida, carrega a marca histórica de sua produção. </w:t>
      </w:r>
    </w:p>
    <w:p w14:paraId="7B37BE79" w14:textId="77777777" w:rsidR="002B4CA0" w:rsidRDefault="002B4CA0" w:rsidP="002B4CA0">
      <w:pPr>
        <w:pStyle w:val="Recuodecorpodetexto"/>
        <w:spacing w:line="360" w:lineRule="auto"/>
        <w:ind w:left="0" w:firstLine="851"/>
        <w:jc w:val="both"/>
        <w:rPr>
          <w:rFonts w:ascii="Arial" w:hAnsi="Arial" w:cs="Arial"/>
        </w:rPr>
      </w:pPr>
      <w:r w:rsidRPr="002B4CA0">
        <w:rPr>
          <w:rFonts w:ascii="Arial" w:hAnsi="Arial" w:cs="Arial"/>
        </w:rPr>
        <w:t xml:space="preserve">Nesse sentido, a docência se desenvolve na articulação entre conhecimentos científicos e culturais, valores éticos e estéticos intrínsecos aos </w:t>
      </w:r>
      <w:r w:rsidRPr="002B4CA0">
        <w:rPr>
          <w:rFonts w:ascii="Arial" w:hAnsi="Arial" w:cs="Arial"/>
        </w:rPr>
        <w:lastRenderedPageBreak/>
        <w:t>processos de aprendizagem, aos modos de socialização e de construção do conhecimento. Ela se constitui no âmbito do diálogo entre diferentes visões de mundo e é ação educativa; possibilita apreender os objetos do fenômeno educativo e situá-los no campo das relações sociais e abordagens pedagógicas. Evidencia-se como um processo pedagógico intencional, permeado pelas relações sociais, étnico-raciais e produtivas, as quais influenciam conceitos, princípios e objetivos</w:t>
      </w:r>
      <w:r>
        <w:rPr>
          <w:rFonts w:ascii="Arial" w:hAnsi="Arial" w:cs="Arial"/>
        </w:rPr>
        <w:t xml:space="preserve"> no contexto da contínua formação docente</w:t>
      </w:r>
      <w:r w:rsidRPr="002B4CA0">
        <w:rPr>
          <w:rFonts w:ascii="Arial" w:hAnsi="Arial" w:cs="Arial"/>
        </w:rPr>
        <w:t xml:space="preserve">. </w:t>
      </w:r>
    </w:p>
    <w:p w14:paraId="678C0534" w14:textId="77777777" w:rsidR="00D90D8D" w:rsidRDefault="00D90D8D" w:rsidP="00D90D8D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</w:rPr>
      </w:pPr>
    </w:p>
    <w:p w14:paraId="78E4D623" w14:textId="4CEDCCFC" w:rsidR="00AD6A7D" w:rsidRDefault="00AD6A7D" w:rsidP="00AD6A7D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7B3A61">
        <w:rPr>
          <w:rFonts w:ascii="Arial" w:hAnsi="Arial" w:cs="Arial"/>
          <w:b/>
          <w:bCs/>
        </w:rPr>
        <w:t>Considerações</w:t>
      </w:r>
    </w:p>
    <w:p w14:paraId="28B753FB" w14:textId="77777777" w:rsidR="007B3A61" w:rsidRPr="007B3A61" w:rsidRDefault="007B3A61" w:rsidP="00AD6A7D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</w:p>
    <w:p w14:paraId="121B29CC" w14:textId="14B5B28B" w:rsidR="00FA69AD" w:rsidRDefault="00FA69AD" w:rsidP="00AD6A7D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A par da reflexão conceitual realizada sobre docência</w:t>
      </w:r>
      <w:r w:rsidR="00B831BB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expressa na </w:t>
      </w:r>
      <w:r>
        <w:rPr>
          <w:rFonts w:ascii="Arial" w:hAnsi="Arial" w:cs="Arial"/>
        </w:rPr>
        <w:t xml:space="preserve">Resolução CNE/CP nº. 4 de 2024, evidenciada no Art.2, </w:t>
      </w:r>
      <w:r w:rsidR="007B3A61">
        <w:rPr>
          <w:rFonts w:ascii="Arial" w:hAnsi="Arial" w:cs="Arial"/>
        </w:rPr>
        <w:t xml:space="preserve">§2º., mais objetivamente, é possível verificar que </w:t>
      </w:r>
      <w:r w:rsidR="00B831BB">
        <w:rPr>
          <w:rFonts w:ascii="Arial" w:hAnsi="Arial" w:cs="Arial"/>
        </w:rPr>
        <w:t>os termos contêm</w:t>
      </w:r>
      <w:r w:rsidR="007B3A61">
        <w:rPr>
          <w:rFonts w:ascii="Arial" w:hAnsi="Arial" w:cs="Arial"/>
        </w:rPr>
        <w:t xml:space="preserve"> sentidos, intencionalidades e demarcam um lugar teórico que, neste caso, perpassa todo o documento legal e impinge aos cursos de formação de professores, às licenciaturas, o prisma técnico e pragmático da formação para a docência.</w:t>
      </w:r>
    </w:p>
    <w:p w14:paraId="32D03B92" w14:textId="77777777" w:rsidR="005D0043" w:rsidRDefault="007B3A61" w:rsidP="005D0043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Aqui se fez um recorte do documento analisado, mas este trecho curto, talvez</w:t>
      </w:r>
      <w:r w:rsidR="005D00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curto de forma intencional, apresenta elementos importantes que, desdobrados em interpretações fundamentadas, nos dá a percepção da relação parte-todo coerente com o posicionamento </w:t>
      </w:r>
      <w:r w:rsidR="005D0043">
        <w:rPr>
          <w:rFonts w:ascii="Arial" w:hAnsi="Arial" w:cs="Arial"/>
        </w:rPr>
        <w:t>político-</w:t>
      </w:r>
      <w:r>
        <w:rPr>
          <w:rFonts w:ascii="Arial" w:hAnsi="Arial" w:cs="Arial"/>
        </w:rPr>
        <w:t>pedagógico</w:t>
      </w:r>
      <w:r w:rsidR="005D00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adotado pelos formuladores do Relatório</w:t>
      </w:r>
      <w:r w:rsidR="005D0043">
        <w:rPr>
          <w:rFonts w:ascii="Arial" w:hAnsi="Arial" w:cs="Arial"/>
        </w:rPr>
        <w:t>. Não nos causa espanto tais concepções, pois o movimento dos grupos que ocupam lugares de poder e indução de políticas educacionais no Brasil, têm ficado mais aderentes a posições meritocráticas, pragmáticas, tecnicistas.</w:t>
      </w:r>
    </w:p>
    <w:p w14:paraId="2C8DA093" w14:textId="47C8CF3C" w:rsidR="00AD6A7D" w:rsidRPr="00FA69AD" w:rsidRDefault="005D0043" w:rsidP="005D0043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Nesse sentido, é sempre </w:t>
      </w:r>
      <w:r w:rsidR="00FA69AD" w:rsidRPr="00FA69AD">
        <w:rPr>
          <w:rFonts w:ascii="Arial" w:hAnsi="Arial" w:cs="Arial"/>
          <w:lang w:eastAsia="ar-SA"/>
        </w:rPr>
        <w:t xml:space="preserve">importante refletir sobre </w:t>
      </w:r>
      <w:r>
        <w:rPr>
          <w:rFonts w:ascii="Arial" w:hAnsi="Arial" w:cs="Arial"/>
          <w:lang w:eastAsia="ar-SA"/>
        </w:rPr>
        <w:t xml:space="preserve">a formação de professores </w:t>
      </w:r>
      <w:r w:rsidR="00FA69AD" w:rsidRPr="00FA69AD">
        <w:rPr>
          <w:rFonts w:ascii="Arial" w:hAnsi="Arial" w:cs="Arial"/>
          <w:lang w:eastAsia="ar-SA"/>
        </w:rPr>
        <w:t>na sociedade atual</w:t>
      </w:r>
      <w:r>
        <w:rPr>
          <w:rFonts w:ascii="Arial" w:hAnsi="Arial" w:cs="Arial"/>
          <w:lang w:eastAsia="ar-SA"/>
        </w:rPr>
        <w:t xml:space="preserve">, dos princípios e concepções presentes no escopo legal, resultado de muitas lutas no campo. </w:t>
      </w:r>
      <w:r w:rsidR="00FA69AD" w:rsidRPr="00FA69AD">
        <w:rPr>
          <w:rFonts w:ascii="Arial" w:hAnsi="Arial" w:cs="Arial"/>
          <w:lang w:eastAsia="ar-SA"/>
        </w:rPr>
        <w:t>A perspectiva</w:t>
      </w:r>
      <w:r>
        <w:rPr>
          <w:rFonts w:ascii="Arial" w:hAnsi="Arial" w:cs="Arial"/>
          <w:lang w:eastAsia="ar-SA"/>
        </w:rPr>
        <w:t xml:space="preserve"> da formação</w:t>
      </w:r>
      <w:r w:rsidR="00FA69AD" w:rsidRPr="00FA69AD">
        <w:rPr>
          <w:rFonts w:ascii="Arial" w:hAnsi="Arial" w:cs="Arial"/>
          <w:lang w:eastAsia="ar-SA"/>
        </w:rPr>
        <w:t xml:space="preserve"> é no sentido de construir uma docência que valoriza o trabalho de cooperação, de integração entre pessoas e disciplinas com vistas a romper com o instrucionismo, a visão linear, a disciplinarização, a racionalidade </w:t>
      </w:r>
      <w:r>
        <w:rPr>
          <w:rFonts w:ascii="Arial" w:hAnsi="Arial" w:cs="Arial"/>
          <w:lang w:eastAsia="ar-SA"/>
        </w:rPr>
        <w:t>técnica</w:t>
      </w:r>
      <w:r w:rsidR="00FA69AD" w:rsidRPr="00FA69AD">
        <w:rPr>
          <w:rFonts w:ascii="Arial" w:hAnsi="Arial" w:cs="Arial"/>
          <w:lang w:eastAsia="ar-SA"/>
        </w:rPr>
        <w:t xml:space="preserve">, a teoria se sobrepondo </w:t>
      </w:r>
      <w:r>
        <w:rPr>
          <w:rFonts w:ascii="Arial" w:hAnsi="Arial" w:cs="Arial"/>
          <w:lang w:eastAsia="ar-SA"/>
        </w:rPr>
        <w:t>à</w:t>
      </w:r>
      <w:r w:rsidR="00FA69AD" w:rsidRPr="00FA69AD">
        <w:rPr>
          <w:rFonts w:ascii="Arial" w:hAnsi="Arial" w:cs="Arial"/>
          <w:lang w:eastAsia="ar-SA"/>
        </w:rPr>
        <w:t xml:space="preserve"> prática</w:t>
      </w:r>
      <w:r w:rsidR="00FA69AD">
        <w:rPr>
          <w:rFonts w:ascii="Arial" w:hAnsi="Arial" w:cs="Arial"/>
          <w:lang w:eastAsia="ar-SA"/>
        </w:rPr>
        <w:t xml:space="preserve"> e vice versa</w:t>
      </w:r>
      <w:r w:rsidR="00FA69AD" w:rsidRPr="00FA69AD">
        <w:rPr>
          <w:rFonts w:ascii="Arial" w:hAnsi="Arial" w:cs="Arial"/>
          <w:lang w:eastAsia="ar-SA"/>
        </w:rPr>
        <w:t>. A</w:t>
      </w:r>
      <w:r>
        <w:rPr>
          <w:rFonts w:ascii="Arial" w:hAnsi="Arial" w:cs="Arial"/>
          <w:lang w:eastAsia="ar-SA"/>
        </w:rPr>
        <w:t xml:space="preserve"> </w:t>
      </w:r>
      <w:r w:rsidR="00FA69AD" w:rsidRPr="00FA69AD">
        <w:rPr>
          <w:rFonts w:ascii="Arial" w:hAnsi="Arial" w:cs="Arial"/>
          <w:lang w:eastAsia="ar-SA"/>
        </w:rPr>
        <w:t xml:space="preserve">aposta é a edificação de um projeto pedagógico </w:t>
      </w:r>
      <w:r w:rsidR="00FA69AD" w:rsidRPr="00FA69AD">
        <w:rPr>
          <w:rFonts w:ascii="Arial" w:hAnsi="Arial" w:cs="Arial"/>
          <w:lang w:eastAsia="ar-SA"/>
        </w:rPr>
        <w:lastRenderedPageBreak/>
        <w:t>emancipador que te</w:t>
      </w:r>
      <w:r>
        <w:rPr>
          <w:rFonts w:ascii="Arial" w:hAnsi="Arial" w:cs="Arial"/>
          <w:lang w:eastAsia="ar-SA"/>
        </w:rPr>
        <w:t>nha</w:t>
      </w:r>
      <w:r w:rsidR="00FA69AD" w:rsidRPr="00FA69AD">
        <w:rPr>
          <w:rFonts w:ascii="Arial" w:hAnsi="Arial" w:cs="Arial"/>
          <w:lang w:eastAsia="ar-SA"/>
        </w:rPr>
        <w:t xml:space="preserve"> a ética</w:t>
      </w:r>
      <w:r>
        <w:rPr>
          <w:rFonts w:ascii="Arial" w:hAnsi="Arial" w:cs="Arial"/>
          <w:lang w:eastAsia="ar-SA"/>
        </w:rPr>
        <w:t>, a crítica, o posicionamento político emancipador</w:t>
      </w:r>
      <w:r w:rsidR="00FA69AD" w:rsidRPr="00FA69AD">
        <w:rPr>
          <w:rFonts w:ascii="Arial" w:hAnsi="Arial" w:cs="Arial"/>
          <w:lang w:eastAsia="ar-SA"/>
        </w:rPr>
        <w:t xml:space="preserve"> como elemento</w:t>
      </w:r>
      <w:r>
        <w:rPr>
          <w:rFonts w:ascii="Arial" w:hAnsi="Arial" w:cs="Arial"/>
          <w:lang w:eastAsia="ar-SA"/>
        </w:rPr>
        <w:t>s</w:t>
      </w:r>
      <w:r w:rsidR="00FA69AD" w:rsidRPr="00FA69AD">
        <w:rPr>
          <w:rFonts w:ascii="Arial" w:hAnsi="Arial" w:cs="Arial"/>
          <w:lang w:eastAsia="ar-SA"/>
        </w:rPr>
        <w:t xml:space="preserve"> que perpassa</w:t>
      </w:r>
      <w:r>
        <w:rPr>
          <w:rFonts w:ascii="Arial" w:hAnsi="Arial" w:cs="Arial"/>
          <w:lang w:eastAsia="ar-SA"/>
        </w:rPr>
        <w:t>m</w:t>
      </w:r>
      <w:r w:rsidR="00FA69AD" w:rsidRPr="00FA69AD">
        <w:rPr>
          <w:rFonts w:ascii="Arial" w:hAnsi="Arial" w:cs="Arial"/>
          <w:lang w:eastAsia="ar-SA"/>
        </w:rPr>
        <w:t xml:space="preserve"> as ações desenvolvidas </w:t>
      </w:r>
      <w:r>
        <w:rPr>
          <w:rFonts w:ascii="Arial" w:hAnsi="Arial" w:cs="Arial"/>
          <w:lang w:eastAsia="ar-SA"/>
        </w:rPr>
        <w:t>na docência</w:t>
      </w:r>
      <w:r w:rsidR="00FA69AD" w:rsidRPr="00FA69AD">
        <w:rPr>
          <w:rFonts w:ascii="Arial" w:hAnsi="Arial" w:cs="Arial"/>
          <w:lang w:eastAsia="ar-SA"/>
        </w:rPr>
        <w:t>.</w:t>
      </w:r>
    </w:p>
    <w:p w14:paraId="71C5C2F0" w14:textId="77777777" w:rsidR="00D90D8D" w:rsidRDefault="00D90D8D" w:rsidP="00FC19FE">
      <w:pPr>
        <w:pStyle w:val="PargrafodaLista"/>
        <w:spacing w:after="0" w:line="240" w:lineRule="auto"/>
        <w:ind w:left="0" w:firstLine="851"/>
        <w:jc w:val="both"/>
        <w:rPr>
          <w:rFonts w:ascii="Arial" w:hAnsi="Arial" w:cs="Arial"/>
        </w:rPr>
      </w:pPr>
    </w:p>
    <w:p w14:paraId="24A12511" w14:textId="77777777" w:rsidR="00115AC8" w:rsidRDefault="00115AC8" w:rsidP="00903DD8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0D1F5775" w14:textId="77777777" w:rsidR="00115AC8" w:rsidRDefault="00115AC8" w:rsidP="00903DD8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58E866EA" w14:textId="5517CCF9" w:rsidR="00903DD8" w:rsidRDefault="00903DD8" w:rsidP="00903DD8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REFERÊNCIAS</w:t>
      </w:r>
    </w:p>
    <w:p w14:paraId="2D4154C5" w14:textId="77777777" w:rsidR="00903DD8" w:rsidRDefault="00903DD8" w:rsidP="00903DD8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4DF99382" w14:textId="24B2ED72" w:rsidR="00115AC8" w:rsidRPr="00115AC8" w:rsidRDefault="00115AC8" w:rsidP="00115AC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15AC8">
        <w:rPr>
          <w:rFonts w:ascii="Arial" w:eastAsia="Times New Roman" w:hAnsi="Arial" w:cs="Arial"/>
          <w:color w:val="000000"/>
        </w:rPr>
        <w:t xml:space="preserve">BRASIL/MEC/CNE. </w:t>
      </w:r>
      <w:r w:rsidRPr="00115AC8">
        <w:rPr>
          <w:rFonts w:ascii="Arial" w:hAnsi="Arial" w:cs="Arial"/>
          <w:b/>
          <w:bCs/>
        </w:rPr>
        <w:t xml:space="preserve">Resolução </w:t>
      </w:r>
      <w:r w:rsidRPr="00115AC8">
        <w:rPr>
          <w:rFonts w:ascii="Arial" w:hAnsi="Arial" w:cs="Arial"/>
        </w:rPr>
        <w:t>CNE/CP Nº 4, de 29 de maio de 2024</w:t>
      </w:r>
    </w:p>
    <w:p w14:paraId="6985EE3E" w14:textId="77777777" w:rsidR="00115AC8" w:rsidRPr="00115AC8" w:rsidRDefault="00115AC8" w:rsidP="00115AC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FF80DCE" w14:textId="7A9CB984" w:rsidR="00903DD8" w:rsidRPr="00115AC8" w:rsidRDefault="00903DD8" w:rsidP="00115AC8">
      <w:pPr>
        <w:spacing w:after="0" w:line="240" w:lineRule="auto"/>
        <w:jc w:val="both"/>
        <w:rPr>
          <w:rFonts w:ascii="Arial" w:hAnsi="Arial" w:cs="Arial"/>
        </w:rPr>
      </w:pPr>
      <w:r w:rsidRPr="00115AC8">
        <w:rPr>
          <w:rFonts w:ascii="Arial" w:eastAsia="Times New Roman" w:hAnsi="Arial" w:cs="Arial"/>
          <w:color w:val="000000"/>
        </w:rPr>
        <w:t xml:space="preserve">COÊLHO, Ildeu Moreira. Qual o sentido da Escola?. In: COÊLHO, Ildeu Moreira  (Org.). </w:t>
      </w:r>
      <w:r w:rsidRPr="00115AC8">
        <w:rPr>
          <w:rFonts w:ascii="Arial" w:eastAsia="Times New Roman" w:hAnsi="Arial" w:cs="Arial"/>
          <w:b/>
          <w:bCs/>
          <w:iCs/>
          <w:color w:val="000000"/>
        </w:rPr>
        <w:t>Escritos sobre os sentidos da escola</w:t>
      </w:r>
      <w:r w:rsidRPr="00115AC8">
        <w:rPr>
          <w:rFonts w:ascii="Arial" w:eastAsia="Times New Roman" w:hAnsi="Arial" w:cs="Arial"/>
          <w:i/>
          <w:color w:val="000000"/>
        </w:rPr>
        <w:t xml:space="preserve">. </w:t>
      </w:r>
      <w:r w:rsidRPr="00115AC8">
        <w:rPr>
          <w:rFonts w:ascii="Arial" w:eastAsia="Times New Roman" w:hAnsi="Arial" w:cs="Arial"/>
          <w:color w:val="000000"/>
        </w:rPr>
        <w:t>Campinas, SP: Mercado de letras, 2012. Cap. 3, p.59-86.</w:t>
      </w:r>
      <w:r w:rsidRPr="00115AC8">
        <w:rPr>
          <w:rFonts w:ascii="Arial" w:hAnsi="Arial" w:cs="Arial"/>
        </w:rPr>
        <w:t xml:space="preserve"> </w:t>
      </w:r>
    </w:p>
    <w:p w14:paraId="0038C515" w14:textId="77777777" w:rsidR="00115AC8" w:rsidRPr="00115AC8" w:rsidRDefault="00115AC8" w:rsidP="00115AC8">
      <w:pPr>
        <w:spacing w:after="0" w:line="240" w:lineRule="auto"/>
        <w:jc w:val="both"/>
        <w:rPr>
          <w:rFonts w:ascii="Arial" w:hAnsi="Arial" w:cs="Arial"/>
        </w:rPr>
      </w:pPr>
    </w:p>
    <w:p w14:paraId="5BBBB797" w14:textId="02C21C94" w:rsidR="00115AC8" w:rsidRPr="00115AC8" w:rsidRDefault="00115AC8" w:rsidP="00115AC8">
      <w:pPr>
        <w:spacing w:after="0" w:line="240" w:lineRule="auto"/>
        <w:jc w:val="both"/>
        <w:rPr>
          <w:rFonts w:ascii="Arial" w:hAnsi="Arial" w:cs="Arial"/>
        </w:rPr>
      </w:pPr>
      <w:r w:rsidRPr="00115AC8">
        <w:rPr>
          <w:rFonts w:ascii="Arial" w:hAnsi="Arial" w:cs="Arial"/>
        </w:rPr>
        <w:t xml:space="preserve">DEVECHI, Catia Piccolo Viero; TREVISAN, Amarildo Luiz; CENCI, Ângelo Vitório. A abordagem da educação baseada em evidências científicas na formação de professores: recuo da prática. </w:t>
      </w:r>
      <w:r w:rsidRPr="00115AC8">
        <w:rPr>
          <w:rFonts w:ascii="Arial" w:hAnsi="Arial" w:cs="Arial"/>
          <w:b/>
          <w:bCs/>
        </w:rPr>
        <w:t>Revista Brasileira de Educação</w:t>
      </w:r>
      <w:r w:rsidRPr="00115AC8">
        <w:rPr>
          <w:rFonts w:ascii="Arial" w:hAnsi="Arial" w:cs="Arial"/>
        </w:rPr>
        <w:t xml:space="preserve"> v. 27 e270106</w:t>
      </w:r>
      <w:r>
        <w:rPr>
          <w:rFonts w:ascii="Arial" w:hAnsi="Arial" w:cs="Arial"/>
        </w:rPr>
        <w:t>,</w:t>
      </w:r>
      <w:r w:rsidRPr="00115AC8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>.</w:t>
      </w:r>
    </w:p>
    <w:p w14:paraId="635D1291" w14:textId="77777777" w:rsidR="00AD6A7D" w:rsidRPr="00115AC8" w:rsidRDefault="00AD6A7D" w:rsidP="00115AC8">
      <w:pPr>
        <w:spacing w:after="0" w:line="240" w:lineRule="auto"/>
        <w:jc w:val="both"/>
        <w:rPr>
          <w:rFonts w:ascii="Arial" w:hAnsi="Arial" w:cs="Arial"/>
        </w:rPr>
      </w:pPr>
    </w:p>
    <w:p w14:paraId="45820DB7" w14:textId="77777777" w:rsidR="00AD6A7D" w:rsidRPr="00115AC8" w:rsidRDefault="00AD6A7D" w:rsidP="00115AC8">
      <w:pPr>
        <w:spacing w:line="240" w:lineRule="auto"/>
        <w:jc w:val="both"/>
        <w:rPr>
          <w:rFonts w:ascii="Arial" w:hAnsi="Arial" w:cs="Arial"/>
        </w:rPr>
      </w:pPr>
      <w:r w:rsidRPr="00115AC8">
        <w:rPr>
          <w:rFonts w:ascii="Arial" w:hAnsi="Arial" w:cs="Arial"/>
        </w:rPr>
        <w:t xml:space="preserve">PARO, Vitor Henrique. Gestão da escola pública: alguns fundamentos e uma proposta, n. 107 a 114. </w:t>
      </w:r>
      <w:r w:rsidRPr="00115AC8">
        <w:rPr>
          <w:rFonts w:ascii="Arial" w:hAnsi="Arial" w:cs="Arial"/>
          <w:i/>
          <w:iCs/>
        </w:rPr>
        <w:t>In:</w:t>
      </w:r>
      <w:r w:rsidRPr="00115AC8">
        <w:rPr>
          <w:rFonts w:ascii="Arial" w:hAnsi="Arial" w:cs="Arial"/>
        </w:rPr>
        <w:t xml:space="preserve"> </w:t>
      </w:r>
      <w:r w:rsidRPr="00115AC8">
        <w:rPr>
          <w:rFonts w:ascii="Arial" w:hAnsi="Arial" w:cs="Arial"/>
          <w:b/>
          <w:bCs/>
        </w:rPr>
        <w:t>Gestão democrática da escola pública</w:t>
      </w:r>
      <w:r w:rsidRPr="00115AC8">
        <w:rPr>
          <w:rFonts w:ascii="Arial" w:hAnsi="Arial" w:cs="Arial"/>
        </w:rPr>
        <w:t>. São Paulo: Ática, 2003.</w:t>
      </w:r>
    </w:p>
    <w:p w14:paraId="7795D8DE" w14:textId="4D983B78" w:rsidR="00115AC8" w:rsidRPr="00115AC8" w:rsidRDefault="00115AC8" w:rsidP="00115AC8">
      <w:pPr>
        <w:spacing w:line="240" w:lineRule="auto"/>
        <w:jc w:val="both"/>
        <w:rPr>
          <w:rFonts w:ascii="Arial" w:hAnsi="Arial" w:cs="Arial"/>
        </w:rPr>
      </w:pPr>
      <w:r w:rsidRPr="00115AC8">
        <w:rPr>
          <w:rFonts w:ascii="Arial" w:hAnsi="Arial" w:cs="Arial"/>
        </w:rPr>
        <w:t>VÁZQUEZ, Adolfo Sánchez. </w:t>
      </w:r>
      <w:r w:rsidRPr="00115AC8">
        <w:rPr>
          <w:rFonts w:ascii="Arial" w:hAnsi="Arial" w:cs="Arial"/>
          <w:b/>
          <w:bCs/>
        </w:rPr>
        <w:t>Filosofia da práxis</w:t>
      </w:r>
      <w:r w:rsidRPr="00115AC8">
        <w:rPr>
          <w:rFonts w:ascii="Arial" w:hAnsi="Arial" w:cs="Arial"/>
        </w:rPr>
        <w:t>. São Paulo: Expressão Popular, 2007.</w:t>
      </w:r>
    </w:p>
    <w:p w14:paraId="4463D8D4" w14:textId="77777777" w:rsidR="00AD6A7D" w:rsidRDefault="00AD6A7D" w:rsidP="00903DD8">
      <w:pPr>
        <w:spacing w:after="0" w:line="240" w:lineRule="auto"/>
        <w:jc w:val="both"/>
        <w:rPr>
          <w:rFonts w:ascii="Candara" w:hAnsi="Candara"/>
        </w:rPr>
      </w:pPr>
    </w:p>
    <w:p w14:paraId="306BBB2A" w14:textId="77777777" w:rsidR="00903DD8" w:rsidRPr="00FC19FE" w:rsidRDefault="00903DD8" w:rsidP="00903DD8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sectPr w:rsidR="00903DD8" w:rsidRPr="00FC19FE" w:rsidSect="00442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DA14" w14:textId="77777777" w:rsidR="009F0D9E" w:rsidRDefault="009F0D9E" w:rsidP="00442A47">
      <w:pPr>
        <w:spacing w:after="0" w:line="240" w:lineRule="auto"/>
      </w:pPr>
      <w:r>
        <w:separator/>
      </w:r>
    </w:p>
  </w:endnote>
  <w:endnote w:type="continuationSeparator" w:id="0">
    <w:p w14:paraId="2E2D4305" w14:textId="77777777" w:rsidR="009F0D9E" w:rsidRDefault="009F0D9E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2326" w14:textId="77777777" w:rsidR="009F0D9E" w:rsidRDefault="009F0D9E" w:rsidP="00442A47">
      <w:pPr>
        <w:spacing w:after="0" w:line="240" w:lineRule="auto"/>
      </w:pPr>
      <w:r>
        <w:separator/>
      </w:r>
    </w:p>
  </w:footnote>
  <w:footnote w:type="continuationSeparator" w:id="0">
    <w:p w14:paraId="63A86888" w14:textId="77777777" w:rsidR="009F0D9E" w:rsidRDefault="009F0D9E" w:rsidP="00442A47">
      <w:pPr>
        <w:spacing w:after="0" w:line="240" w:lineRule="auto"/>
      </w:pPr>
      <w:r>
        <w:continuationSeparator/>
      </w:r>
    </w:p>
  </w:footnote>
  <w:footnote w:id="1">
    <w:p w14:paraId="109E3B37" w14:textId="6F14C119" w:rsidR="00C52E91" w:rsidRPr="00B831BB" w:rsidRDefault="00C52E91" w:rsidP="007F390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115AC8" w:rsidRPr="00B831BB">
        <w:t>A </w:t>
      </w:r>
      <w:r w:rsidR="00115AC8" w:rsidRPr="00B831BB">
        <w:rPr>
          <w:i/>
          <w:iCs/>
        </w:rPr>
        <w:t>práxis</w:t>
      </w:r>
      <w:r w:rsidR="00115AC8" w:rsidRPr="00B831BB">
        <w:t> constitui uma atividade material, capaz de transformar a realidade de acordo com os fins adequados. Fora de sua circunscrição, subsiste apenas a atividade teórica que não se efetiva, na medida em que é apenas uma atividade puramente espiritual. Entretanto, por outro lado, não existe práxis que seja puramente material, isto é, sem a elaboração de </w:t>
      </w:r>
      <w:r w:rsidR="00115AC8" w:rsidRPr="00B831BB">
        <w:rPr>
          <w:i/>
          <w:iCs/>
        </w:rPr>
        <w:t>fins </w:t>
      </w:r>
      <w:r w:rsidR="00115AC8" w:rsidRPr="00B831BB">
        <w:t>e </w:t>
      </w:r>
      <w:r w:rsidR="00115AC8" w:rsidRPr="00B831BB">
        <w:rPr>
          <w:i/>
          <w:iCs/>
        </w:rPr>
        <w:t>conhecimentos</w:t>
      </w:r>
      <w:r w:rsidR="00115AC8" w:rsidRPr="00B831BB">
        <w:t> que caracteriza a atividade teórica. (Vázquez, 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37302"/>
    <w:multiLevelType w:val="hybridMultilevel"/>
    <w:tmpl w:val="38AEE2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23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B0619"/>
    <w:rsid w:val="000B19A4"/>
    <w:rsid w:val="000C2B62"/>
    <w:rsid w:val="000D34B8"/>
    <w:rsid w:val="001046D4"/>
    <w:rsid w:val="00114785"/>
    <w:rsid w:val="001154DA"/>
    <w:rsid w:val="00115AC8"/>
    <w:rsid w:val="0016612C"/>
    <w:rsid w:val="001E2153"/>
    <w:rsid w:val="001F4920"/>
    <w:rsid w:val="002B4CA0"/>
    <w:rsid w:val="00324FC1"/>
    <w:rsid w:val="003271CC"/>
    <w:rsid w:val="003A1446"/>
    <w:rsid w:val="003B7209"/>
    <w:rsid w:val="003D5AFA"/>
    <w:rsid w:val="00442A47"/>
    <w:rsid w:val="004E4F0D"/>
    <w:rsid w:val="00586D2A"/>
    <w:rsid w:val="00587054"/>
    <w:rsid w:val="00595A5D"/>
    <w:rsid w:val="005D0043"/>
    <w:rsid w:val="00707DBF"/>
    <w:rsid w:val="00762558"/>
    <w:rsid w:val="00790454"/>
    <w:rsid w:val="007B3A61"/>
    <w:rsid w:val="007D09CB"/>
    <w:rsid w:val="007D7CA8"/>
    <w:rsid w:val="007F390E"/>
    <w:rsid w:val="007F5C85"/>
    <w:rsid w:val="00886864"/>
    <w:rsid w:val="008B3108"/>
    <w:rsid w:val="008B734D"/>
    <w:rsid w:val="00903A33"/>
    <w:rsid w:val="00903DD8"/>
    <w:rsid w:val="00905EB5"/>
    <w:rsid w:val="009374D2"/>
    <w:rsid w:val="009F0D9E"/>
    <w:rsid w:val="00A340AC"/>
    <w:rsid w:val="00A861C7"/>
    <w:rsid w:val="00AC463E"/>
    <w:rsid w:val="00AD6A7D"/>
    <w:rsid w:val="00AF5C7F"/>
    <w:rsid w:val="00B569A4"/>
    <w:rsid w:val="00B831BB"/>
    <w:rsid w:val="00C21B9E"/>
    <w:rsid w:val="00C52E91"/>
    <w:rsid w:val="00C91E3B"/>
    <w:rsid w:val="00CD54ED"/>
    <w:rsid w:val="00CF0BF7"/>
    <w:rsid w:val="00D24E43"/>
    <w:rsid w:val="00D90D8D"/>
    <w:rsid w:val="00DB083C"/>
    <w:rsid w:val="00E645EB"/>
    <w:rsid w:val="00FA69AD"/>
    <w:rsid w:val="00FC19FE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A861C7"/>
  </w:style>
  <w:style w:type="paragraph" w:styleId="Recuodecorpodetexto">
    <w:name w:val="Body Text Indent"/>
    <w:basedOn w:val="Normal"/>
    <w:link w:val="RecuodecorpodetextoChar"/>
    <w:uiPriority w:val="99"/>
    <w:unhideWhenUsed/>
    <w:rsid w:val="00A861C7"/>
    <w:pPr>
      <w:spacing w:after="120" w:line="259" w:lineRule="auto"/>
      <w:ind w:left="283"/>
    </w:pPr>
  </w:style>
  <w:style w:type="character" w:customStyle="1" w:styleId="RecuodecorpodetextoChar1">
    <w:name w:val="Recuo de corpo de texto Char1"/>
    <w:basedOn w:val="Fontepargpadro"/>
    <w:uiPriority w:val="99"/>
    <w:semiHidden/>
    <w:rsid w:val="00A861C7"/>
  </w:style>
  <w:style w:type="character" w:styleId="Hyperlink">
    <w:name w:val="Hyperlink"/>
    <w:basedOn w:val="Fontepargpadro"/>
    <w:uiPriority w:val="99"/>
    <w:unhideWhenUsed/>
    <w:rsid w:val="00324FC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4FC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2E9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52E9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52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2017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SYLVANA DE OLIVEIRA BERNARDI NOLETO</cp:lastModifiedBy>
  <cp:revision>8</cp:revision>
  <dcterms:created xsi:type="dcterms:W3CDTF">2025-04-09T22:50:00Z</dcterms:created>
  <dcterms:modified xsi:type="dcterms:W3CDTF">2025-04-11T17:07:00Z</dcterms:modified>
</cp:coreProperties>
</file>