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5500" w:rsidP="73E020A0" w:rsidRDefault="0E47EE63" w14:paraId="04E0BFD2" w14:textId="52ADBCB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73E020A0">
        <w:rPr>
          <w:rFonts w:ascii="Times New Roman" w:hAnsi="Times New Roman" w:eastAsia="Times New Roman" w:cs="Times New Roman"/>
          <w:b/>
          <w:bCs/>
          <w:sz w:val="24"/>
          <w:szCs w:val="24"/>
        </w:rPr>
        <w:t>O BALLET COMO PRÁTICA DE EDUCAÇÃO NÃO FORMAL E INCLUSÃO SOCIAL</w:t>
      </w:r>
      <w:r w:rsidRPr="73E020A0" w:rsidR="00E4076D">
        <w:rPr>
          <w:rStyle w:val="Refdenotaderodap"/>
          <w:rFonts w:ascii="Times New Roman" w:hAnsi="Times New Roman" w:eastAsia="Times New Roman" w:cs="Times New Roman"/>
          <w:sz w:val="24"/>
          <w:szCs w:val="24"/>
        </w:rPr>
        <w:footnoteReference w:id="1"/>
      </w:r>
      <w:r w:rsidRPr="73E020A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D25500" w:rsidRDefault="00D25500" w14:paraId="0CB30E3E" w14:textId="75B4A0F2">
      <w:pPr>
        <w:spacing w:after="0" w:line="240" w:lineRule="auto"/>
        <w:jc w:val="right"/>
      </w:pPr>
    </w:p>
    <w:p w:rsidR="00D25500" w:rsidP="73E020A0" w:rsidRDefault="4593D834" w14:paraId="02D1F7D2" w14:textId="7873E423">
      <w:pPr>
        <w:spacing w:after="0" w:line="240" w:lineRule="auto"/>
        <w:jc w:val="right"/>
      </w:pPr>
      <w:r w:rsidRPr="73E020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SILVEIRA, Amanda Cardoso Barbosa e,</w:t>
      </w:r>
    </w:p>
    <w:p w:rsidR="00D25500" w:rsidP="73E020A0" w:rsidRDefault="4593D834" w14:paraId="029E9198" w14:textId="23BE086C">
      <w:pPr>
        <w:spacing w:after="0" w:line="240" w:lineRule="auto"/>
        <w:jc w:val="right"/>
      </w:pPr>
      <w:r w:rsidRPr="73E020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Professora doutora do curso de Serviço Social da Universidade Estadual de Montes Claros, </w:t>
      </w:r>
      <w:r w:rsidRPr="73E020A0">
        <w:rPr>
          <w:rFonts w:ascii="Times New Roman" w:hAnsi="Times New Roman" w:eastAsia="Times New Roman" w:cs="Times New Roman"/>
          <w:sz w:val="24"/>
          <w:szCs w:val="24"/>
        </w:rPr>
        <w:t>amanda.barbosa@unimontes.br</w:t>
      </w:r>
    </w:p>
    <w:p w:rsidR="00D25500" w:rsidRDefault="00D25500" w14:paraId="70A59602" w14:textId="0FD33BB1">
      <w:pPr>
        <w:spacing w:after="0" w:line="240" w:lineRule="auto"/>
        <w:jc w:val="right"/>
      </w:pPr>
    </w:p>
    <w:p w:rsidR="00D25500" w:rsidP="73E020A0" w:rsidRDefault="006A2C63" w14:paraId="78E2CE3D" w14:textId="50558A0C">
      <w:pPr>
        <w:spacing w:after="0" w:line="240" w:lineRule="auto"/>
        <w:jc w:val="right"/>
      </w:pPr>
      <w:r w:rsidRPr="73E020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BRITO, Karen Grazielly Souza de,</w:t>
      </w:r>
    </w:p>
    <w:p w:rsidR="00D25500" w:rsidP="73E020A0" w:rsidRDefault="006A2C63" w14:paraId="05E3460B" w14:textId="315AC4BD">
      <w:pPr>
        <w:spacing w:after="0" w:line="240" w:lineRule="auto"/>
        <w:jc w:val="right"/>
      </w:pPr>
      <w:r w:rsidRPr="73E020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Acadêmica do curso de Serviço Social da Universidade Estadual de Montes Claros, bolsista do Programa Institucional de Iniciação Científica e Tecnológica - PIBIC/FAPEMIG, </w:t>
      </w:r>
      <w:r w:rsidRPr="73E020A0">
        <w:rPr>
          <w:rFonts w:ascii="Times New Roman" w:hAnsi="Times New Roman" w:eastAsia="Times New Roman" w:cs="Times New Roman"/>
          <w:sz w:val="24"/>
          <w:szCs w:val="24"/>
        </w:rPr>
        <w:t>kkaren1102@gmail.com</w:t>
      </w:r>
    </w:p>
    <w:p w:rsidR="00D25500" w:rsidP="73E020A0" w:rsidRDefault="00D25500" w14:paraId="786605F5" w14:textId="74B55217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D25500" w:rsidP="73E020A0" w:rsidRDefault="4593D834" w14:paraId="371E59AB" w14:textId="5AE7F9E3">
      <w:pPr>
        <w:spacing w:after="0" w:line="240" w:lineRule="auto"/>
        <w:jc w:val="right"/>
      </w:pPr>
      <w:r w:rsidRPr="73E020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BRITO, Ana Flávia de Faria,</w:t>
      </w:r>
    </w:p>
    <w:p w:rsidR="00D25500" w:rsidP="73E020A0" w:rsidRDefault="4593D834" w14:paraId="46C520C8" w14:textId="6B677FF4">
      <w:pPr>
        <w:spacing w:after="0" w:line="240" w:lineRule="auto"/>
        <w:jc w:val="right"/>
      </w:pPr>
      <w:r w:rsidRPr="73E020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Acadêmica do curso de enfermagem e bolsista do Programa Institucional de Iniciação Científica - PROINIC da Universidade Estadual de Montes Claros, </w:t>
      </w:r>
      <w:r w:rsidRPr="73E020A0">
        <w:rPr>
          <w:rFonts w:ascii="Times New Roman" w:hAnsi="Times New Roman" w:eastAsia="Times New Roman" w:cs="Times New Roman"/>
          <w:sz w:val="24"/>
          <w:szCs w:val="24"/>
        </w:rPr>
        <w:t>anaflaviafbrito05@gmail.com</w:t>
      </w:r>
    </w:p>
    <w:p w:rsidR="00D25500" w:rsidP="73E020A0" w:rsidRDefault="00D25500" w14:paraId="19BAF17F" w14:textId="5F37884D">
      <w:pPr>
        <w:spacing w:after="0" w:line="240" w:lineRule="auto"/>
        <w:jc w:val="right"/>
      </w:pPr>
    </w:p>
    <w:p w:rsidR="00D25500" w:rsidP="73E020A0" w:rsidRDefault="4593D834" w14:paraId="331FE0A4" w14:textId="28B8301E">
      <w:pPr>
        <w:spacing w:after="0" w:line="240" w:lineRule="auto"/>
        <w:jc w:val="right"/>
      </w:pPr>
      <w:r w:rsidRPr="73E020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 BRITO, Sueli Aparecida de Faria,</w:t>
      </w:r>
    </w:p>
    <w:p w:rsidR="00D25500" w:rsidP="73E020A0" w:rsidRDefault="4593D834" w14:paraId="4A6AA1CB" w14:textId="032FEDA1">
      <w:pPr>
        <w:spacing w:after="0" w:line="240" w:lineRule="auto"/>
        <w:jc w:val="right"/>
      </w:pPr>
      <w:r w:rsidRPr="73E020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Assistente Social, bolsista de Desenvolvimento em Ciência, Tecnologia e Inovação - BDCTI IV/FAPEMIG, </w:t>
      </w:r>
      <w:r w:rsidRPr="73E020A0">
        <w:rPr>
          <w:rFonts w:ascii="Times New Roman" w:hAnsi="Times New Roman" w:eastAsia="Times New Roman" w:cs="Times New Roman"/>
          <w:sz w:val="24"/>
          <w:szCs w:val="24"/>
        </w:rPr>
        <w:t>sueli_fariabrito@yahoo.com.br</w:t>
      </w:r>
    </w:p>
    <w:p w:rsidR="00D25500" w:rsidRDefault="00D25500" w14:paraId="223C8C5E" w14:textId="5F0936DC">
      <w:pPr>
        <w:spacing w:after="0" w:line="240" w:lineRule="auto"/>
        <w:jc w:val="right"/>
      </w:pPr>
    </w:p>
    <w:p w:rsidR="00D25500" w:rsidP="73E020A0" w:rsidRDefault="4593D834" w14:paraId="4850BB18" w14:textId="2F0182BF">
      <w:pPr>
        <w:spacing w:after="0" w:line="240" w:lineRule="auto"/>
        <w:jc w:val="right"/>
      </w:pPr>
      <w:r w:rsidRPr="73E020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Eixo: Saberes e práticas educativas</w:t>
      </w:r>
    </w:p>
    <w:p w:rsidR="00D25500" w:rsidRDefault="00D25500" w14:paraId="7A4A3709" w14:textId="12BFED8F">
      <w:pPr>
        <w:spacing w:after="0" w:line="240" w:lineRule="auto"/>
        <w:jc w:val="right"/>
      </w:pPr>
    </w:p>
    <w:p w:rsidR="00D25500" w:rsidRDefault="00D25500" w14:paraId="473BA316" w14:textId="59EB9028">
      <w:pPr>
        <w:spacing w:after="0" w:line="240" w:lineRule="auto"/>
        <w:jc w:val="right"/>
      </w:pPr>
    </w:p>
    <w:p w:rsidR="00D25500" w:rsidP="73E020A0" w:rsidRDefault="4593D834" w14:paraId="6B9839C5" w14:textId="0AD38251">
      <w:pPr>
        <w:spacing w:after="0" w:line="240" w:lineRule="auto"/>
        <w:jc w:val="both"/>
      </w:pP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>RESUMO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00D25500" w:rsidP="73E020A0" w:rsidRDefault="4593D834" w14:paraId="16AAEBDC" w14:textId="2E3C497A">
      <w:pPr>
        <w:spacing w:before="240" w:after="240" w:line="240" w:lineRule="auto"/>
        <w:jc w:val="both"/>
      </w:pPr>
      <w:r w:rsidRPr="73E020A0">
        <w:rPr>
          <w:rFonts w:ascii="Times New Roman" w:hAnsi="Times New Roman" w:eastAsia="Times New Roman" w:cs="Times New Roman"/>
          <w:color w:val="000000" w:themeColor="text1"/>
        </w:rPr>
        <w:t>Este estudo, de revisão bibliográfica, analisa o ballet como prática de educação não formal, articulando o aporte teórico de Gohn (2016) com as análises de Batista, Brisola e Gomes (2023) acerca da inclusão social. Defende que o ballet, ofertado por vários projetos sociais distribuídos pelo Brasil, torna-se uma potente ferramenta de inclusão para pessoas em situação de vulnerabilidade social. No âmbito da educação, este estudo enquadra-se no eixo “Saberes e práticas educativas”, pois compreende que práticas de dança, como o ballet, são ferramentas que propiciam processos educativos para além da sala de aula tradicional, contribuindo para a ampliação do acesso à cultura.</w:t>
      </w:r>
    </w:p>
    <w:p w:rsidR="00D25500" w:rsidP="73E020A0" w:rsidRDefault="4593D834" w14:paraId="3ECE0BBF" w14:textId="38A92300">
      <w:pPr>
        <w:spacing w:before="240" w:after="240" w:line="240" w:lineRule="auto"/>
        <w:jc w:val="both"/>
      </w:pP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>Palavras-chave: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 Ballet; </w:t>
      </w:r>
      <w:r w:rsidRPr="73E020A0" w:rsidR="2AD61D1F">
        <w:rPr>
          <w:rFonts w:ascii="Times New Roman" w:hAnsi="Times New Roman" w:eastAsia="Times New Roman" w:cs="Times New Roman"/>
          <w:color w:val="000000" w:themeColor="text1"/>
        </w:rPr>
        <w:t>d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ança; </w:t>
      </w:r>
      <w:r w:rsidRPr="73E020A0" w:rsidR="2C64D95F">
        <w:rPr>
          <w:rFonts w:ascii="Times New Roman" w:hAnsi="Times New Roman" w:eastAsia="Times New Roman" w:cs="Times New Roman"/>
          <w:color w:val="000000" w:themeColor="text1"/>
        </w:rPr>
        <w:t>e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ducação não formal; </w:t>
      </w:r>
      <w:r w:rsidRPr="73E020A0" w:rsidR="3FEB53CD">
        <w:rPr>
          <w:rFonts w:ascii="Times New Roman" w:hAnsi="Times New Roman" w:eastAsia="Times New Roman" w:cs="Times New Roman"/>
          <w:color w:val="000000" w:themeColor="text1"/>
        </w:rPr>
        <w:t>i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>nclusão social.</w:t>
      </w:r>
    </w:p>
    <w:p w:rsidR="00D25500" w:rsidP="47D7C4CF" w:rsidRDefault="00D25500" w14:paraId="25B43B11" w14:textId="271C4014">
      <w:pPr>
        <w:pStyle w:val="Normal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 w:themeColor="text1"/>
        </w:rPr>
      </w:pPr>
    </w:p>
    <w:p w:rsidR="00D25500" w:rsidP="73E020A0" w:rsidRDefault="4593D834" w14:paraId="797CA352" w14:textId="3908907C">
      <w:pPr>
        <w:spacing w:after="0" w:line="240" w:lineRule="auto"/>
        <w:jc w:val="both"/>
      </w:pP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>INTRODUÇÃO</w:t>
      </w:r>
    </w:p>
    <w:p w:rsidR="00D25500" w:rsidRDefault="00D25500" w14:paraId="62E6D12C" w14:textId="05802FBA">
      <w:pPr>
        <w:spacing w:after="0" w:line="240" w:lineRule="auto"/>
        <w:jc w:val="right"/>
      </w:pPr>
    </w:p>
    <w:p w:rsidR="00D25500" w:rsidP="73E020A0" w:rsidRDefault="4593D834" w14:paraId="49E1296C" w14:textId="0D97A371">
      <w:pPr>
        <w:spacing w:after="0" w:line="240" w:lineRule="auto"/>
        <w:ind w:firstLine="708"/>
        <w:jc w:val="both"/>
      </w:pP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 texto de Batista, Brisola e Gomes </w:t>
      </w:r>
      <w:r w:rsidRPr="0F2DCA56" w:rsidR="456A32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(2023) 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ilustra como o ballet que, historicamente, sempre foi visto como uma prática elitizada, quando </w:t>
      </w:r>
      <w:r w:rsidRPr="0F2DCA56" w:rsidR="096F822A">
        <w:rPr>
          <w:rFonts w:ascii="Times New Roman" w:hAnsi="Times New Roman" w:eastAsia="Times New Roman" w:cs="Times New Roman"/>
          <w:color w:val="000000" w:themeColor="text1" w:themeTint="FF" w:themeShade="FF"/>
        </w:rPr>
        <w:t>ofertado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em projetos sociais, torna-se uma significativa ferramenta de inclusão social. As narrativas de ex-alunas e de suas mães</w:t>
      </w:r>
      <w:r w:rsidRPr="0F2DCA56" w:rsidR="2F25D2A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apresentadas pelos autores, 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apontam para mudanças na autoestima, nas relações sociais, na disciplina e nos planos de futuro dessas jovens, mesmo que a dança, por si só, não consiga alterar as estruturas sociais desiguais.</w:t>
      </w:r>
      <w:r>
        <w:tab/>
      </w:r>
    </w:p>
    <w:p w:rsidR="0F2DCA56" w:rsidP="0F2DCA56" w:rsidRDefault="0F2DCA56" w14:paraId="2C3FC70D" w14:textId="0FE8DF1A">
      <w:pPr>
        <w:spacing w:after="0" w:line="240" w:lineRule="auto"/>
        <w:ind w:firstLine="708"/>
        <w:jc w:val="both"/>
      </w:pPr>
    </w:p>
    <w:p w:rsidR="00D25500" w:rsidP="73E020A0" w:rsidRDefault="4593D834" w14:paraId="043DCF85" w14:textId="202BC11C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73E020A0">
        <w:rPr>
          <w:rFonts w:ascii="Times New Roman" w:hAnsi="Times New Roman" w:eastAsia="Times New Roman" w:cs="Times New Roman"/>
          <w:color w:val="000000" w:themeColor="text1"/>
        </w:rPr>
        <w:t>Essa perspectiva se alinha à visão de educação não formal proposta por</w:t>
      </w:r>
      <w:r w:rsidRPr="73E020A0" w:rsidR="7B89EBDE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>Gohn</w:t>
      </w:r>
      <w:r w:rsidRPr="73E020A0" w:rsidR="4126C5E8">
        <w:rPr>
          <w:rFonts w:ascii="Times New Roman" w:hAnsi="Times New Roman" w:eastAsia="Times New Roman" w:cs="Times New Roman"/>
          <w:color w:val="000000" w:themeColor="text1"/>
        </w:rPr>
        <w:t xml:space="preserve"> (201</w:t>
      </w:r>
      <w:r w:rsidRPr="73E020A0" w:rsidR="59787BC5">
        <w:rPr>
          <w:rFonts w:ascii="Times New Roman" w:hAnsi="Times New Roman" w:eastAsia="Times New Roman" w:cs="Times New Roman"/>
          <w:color w:val="000000" w:themeColor="text1"/>
        </w:rPr>
        <w:t>6</w:t>
      </w:r>
      <w:r w:rsidRPr="73E020A0" w:rsidR="4126C5E8">
        <w:rPr>
          <w:rFonts w:ascii="Times New Roman" w:hAnsi="Times New Roman" w:eastAsia="Times New Roman" w:cs="Times New Roman"/>
          <w:color w:val="000000" w:themeColor="text1"/>
        </w:rPr>
        <w:t>)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>, que</w:t>
      </w:r>
      <w:r w:rsidRPr="73E020A0" w:rsidR="0FA1953E">
        <w:rPr>
          <w:rFonts w:ascii="Times New Roman" w:hAnsi="Times New Roman" w:eastAsia="Times New Roman" w:cs="Times New Roman"/>
          <w:color w:val="000000" w:themeColor="text1"/>
        </w:rPr>
        <w:t xml:space="preserve"> se 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>caracteriza como um domínio distinto de formação humana, que ocorre em ambientes culturais e comunitários e é focado na cidadania, na participação e na emancipação. Nesse sentido, o ballet em iniciativas sociais se estabelece como uma prática educativa que vai além do âmbito artístico, favorecendo a formação de cidadãos e promovendo o acesso à cultura enquanto direito social.</w:t>
      </w:r>
    </w:p>
    <w:p w:rsidR="00D25500" w:rsidRDefault="00D25500" w14:paraId="0743184C" w14:textId="223CCA54">
      <w:pPr>
        <w:spacing w:after="0" w:line="240" w:lineRule="auto"/>
        <w:jc w:val="right"/>
      </w:pPr>
    </w:p>
    <w:p w:rsidR="00D25500" w:rsidP="73E020A0" w:rsidRDefault="4593D834" w14:paraId="4E1261B4" w14:textId="2E610C47">
      <w:pPr>
        <w:spacing w:after="0" w:line="240" w:lineRule="auto"/>
        <w:jc w:val="both"/>
      </w:pP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>JUSTIFICATIVA E PROBLEMA DA PESQUISA</w:t>
      </w:r>
    </w:p>
    <w:p w:rsidR="00D25500" w:rsidP="73E020A0" w:rsidRDefault="4593D834" w14:paraId="07863311" w14:textId="0C41F9C5">
      <w:pPr>
        <w:spacing w:before="240" w:after="24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A pesquisa parte do seguinte problema: como o ballet, desenvolvido em espaços não escolares e elitizados, pode ser compreendido </w:t>
      </w:r>
      <w:r w:rsidRPr="73E020A0" w:rsidR="7691F59B">
        <w:rPr>
          <w:rFonts w:ascii="Times New Roman" w:hAnsi="Times New Roman" w:eastAsia="Times New Roman" w:cs="Times New Roman"/>
          <w:color w:val="000000" w:themeColor="text1"/>
        </w:rPr>
        <w:t>como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 produção de saberes educativos?</w:t>
      </w:r>
      <w:r w:rsidRPr="73E020A0" w:rsidR="35B3D793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>Este estudo justifica</w:t>
      </w:r>
      <w:r w:rsidRPr="73E020A0" w:rsidR="01237A9D">
        <w:rPr>
          <w:rFonts w:ascii="Times New Roman" w:hAnsi="Times New Roman" w:eastAsia="Times New Roman" w:cs="Times New Roman"/>
          <w:color w:val="000000" w:themeColor="text1"/>
        </w:rPr>
        <w:t xml:space="preserve">-se 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pela importância de entender </w:t>
      </w:r>
      <w:r w:rsidRPr="73E020A0" w:rsidR="26CCA658">
        <w:rPr>
          <w:rFonts w:ascii="Times New Roman" w:hAnsi="Times New Roman" w:eastAsia="Times New Roman" w:cs="Times New Roman"/>
          <w:color w:val="000000" w:themeColor="text1"/>
        </w:rPr>
        <w:t>o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 papel </w:t>
      </w:r>
      <w:r w:rsidRPr="73E020A0" w:rsidR="4EF5EA90">
        <w:rPr>
          <w:rFonts w:ascii="Times New Roman" w:hAnsi="Times New Roman" w:eastAsia="Times New Roman" w:cs="Times New Roman"/>
          <w:color w:val="000000" w:themeColor="text1"/>
        </w:rPr>
        <w:t xml:space="preserve">dessa dança 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na formação e </w:t>
      </w:r>
      <w:r w:rsidRPr="73E020A0" w:rsidR="5B43E3A8">
        <w:rPr>
          <w:rFonts w:ascii="Times New Roman" w:hAnsi="Times New Roman" w:eastAsia="Times New Roman" w:cs="Times New Roman"/>
          <w:color w:val="000000" w:themeColor="text1"/>
        </w:rPr>
        <w:t xml:space="preserve">na 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>inclusão social de pessoas em situação de vulnerabilidade.</w:t>
      </w:r>
    </w:p>
    <w:p w:rsidR="00D25500" w:rsidP="73E020A0" w:rsidRDefault="4593D834" w14:paraId="2FCD77CF" w14:textId="142408DB">
      <w:pPr>
        <w:spacing w:after="0" w:line="240" w:lineRule="auto"/>
        <w:jc w:val="both"/>
      </w:pP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>OBJETIVOS DA PESQUISA</w:t>
      </w:r>
    </w:p>
    <w:p w:rsidR="00D25500" w:rsidRDefault="00D25500" w14:paraId="267F63B3" w14:textId="6DAA7BA7">
      <w:pPr>
        <w:spacing w:after="0" w:line="240" w:lineRule="auto"/>
        <w:jc w:val="right"/>
      </w:pPr>
    </w:p>
    <w:p w:rsidR="00D25500" w:rsidP="73E020A0" w:rsidRDefault="4593D834" w14:paraId="50602FAD" w14:textId="603B643A">
      <w:pPr>
        <w:spacing w:after="0" w:line="240" w:lineRule="auto"/>
        <w:ind w:firstLine="708"/>
        <w:jc w:val="both"/>
      </w:pPr>
      <w:r w:rsidRPr="73E020A0">
        <w:rPr>
          <w:rFonts w:ascii="Times New Roman" w:hAnsi="Times New Roman" w:eastAsia="Times New Roman" w:cs="Times New Roman"/>
          <w:color w:val="000000" w:themeColor="text1"/>
        </w:rPr>
        <w:t>Analisar de que maneira o ballet, quando implementado em projetos sociais, se caracteriza como uma prática de educação não formal, favorecendo a inclusão social e a formação cidadã de meninas e jovens que se encontram em situação de vulnerabilidade.</w:t>
      </w:r>
    </w:p>
    <w:p w:rsidR="00D25500" w:rsidRDefault="00D25500" w14:paraId="04115C47" w14:textId="32C4B1C0">
      <w:pPr>
        <w:spacing w:after="0" w:line="240" w:lineRule="auto"/>
        <w:jc w:val="right"/>
      </w:pPr>
    </w:p>
    <w:p w:rsidR="00D25500" w:rsidP="73E020A0" w:rsidRDefault="4593D834" w14:paraId="0E35938E" w14:textId="69614624">
      <w:pPr>
        <w:spacing w:after="0" w:line="240" w:lineRule="auto"/>
        <w:jc w:val="both"/>
      </w:pP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REFERENCIAL TEÓRICO </w:t>
      </w:r>
    </w:p>
    <w:p w:rsidR="00D25500" w:rsidRDefault="00D25500" w14:paraId="1787F629" w14:textId="52BE0770">
      <w:pPr>
        <w:spacing w:after="0" w:line="240" w:lineRule="auto"/>
        <w:jc w:val="right"/>
      </w:pPr>
    </w:p>
    <w:p w:rsidR="00D25500" w:rsidP="73E020A0" w:rsidRDefault="4593D834" w14:paraId="675E0ECA" w14:textId="6CD4F37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A fundamentação teórica desta pesquisa, primeiramente, se baseia na definição de educação não formal elaborada por Gohn</w:t>
      </w:r>
      <w:r w:rsidRPr="0F2DCA56" w:rsidR="25F3DCF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(201</w:t>
      </w:r>
      <w:r w:rsidRPr="0F2DCA56" w:rsidR="5E8FAB1B">
        <w:rPr>
          <w:rFonts w:ascii="Times New Roman" w:hAnsi="Times New Roman" w:eastAsia="Times New Roman" w:cs="Times New Roman"/>
          <w:color w:val="000000" w:themeColor="text1" w:themeTint="FF" w:themeShade="FF"/>
        </w:rPr>
        <w:t>6</w:t>
      </w:r>
      <w:r w:rsidRPr="0F2DCA56" w:rsidR="25F3DCFD">
        <w:rPr>
          <w:rFonts w:ascii="Times New Roman" w:hAnsi="Times New Roman" w:eastAsia="Times New Roman" w:cs="Times New Roman"/>
          <w:color w:val="000000" w:themeColor="text1" w:themeTint="FF" w:themeShade="FF"/>
        </w:rPr>
        <w:t>)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, que a classifica como um domínio específico de formação humana, com foco na cidadania, na cultura e na participação social. Para a autora, “a educação não formal é uma ferramenta importante no processo de formação e construção da cidadania das pessoas, em qualquer nível social ou de escolaridade” (G</w:t>
      </w:r>
      <w:r w:rsidRPr="0F2DCA56" w:rsidR="6E11C995">
        <w:rPr>
          <w:rFonts w:ascii="Times New Roman" w:hAnsi="Times New Roman" w:eastAsia="Times New Roman" w:cs="Times New Roman"/>
          <w:color w:val="000000" w:themeColor="text1" w:themeTint="FF" w:themeShade="FF"/>
        </w:rPr>
        <w:t>ohn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, 2016</w:t>
      </w:r>
      <w:r w:rsidRPr="0F2DCA56" w:rsidR="5356873F">
        <w:rPr>
          <w:rFonts w:ascii="Times New Roman" w:hAnsi="Times New Roman" w:eastAsia="Times New Roman" w:cs="Times New Roman"/>
          <w:color w:val="000000" w:themeColor="text1" w:themeTint="FF" w:themeShade="FF"/>
        </w:rPr>
        <w:t>, p. 71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), evidenciando que os processos educativos ultrapassam os limites da escola e se constroem também nos espaços da vida social, cultural e comunitária. </w:t>
      </w:r>
    </w:p>
    <w:p w:rsidR="0F2DCA56" w:rsidP="0F2DCA56" w:rsidRDefault="0F2DCA56" w14:paraId="2AC1A576" w14:textId="50354EB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</w:p>
    <w:p w:rsidR="1B40C38D" w:rsidP="0F2DCA56" w:rsidRDefault="1B40C38D" w14:paraId="7C5A4DCE" w14:textId="3E762CA0">
      <w:pPr>
        <w:pStyle w:val="Normal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</w:pPr>
      <w:r w:rsidRPr="0F2DCA56" w:rsidR="1B40C3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Ainda na visão de </w:t>
      </w:r>
      <w:r w:rsidRPr="0F2DCA56" w:rsidR="1B40C38D">
        <w:rPr>
          <w:rFonts w:ascii="Times New Roman" w:hAnsi="Times New Roman" w:eastAsia="Times New Roman" w:cs="Times New Roman"/>
          <w:color w:val="000000" w:themeColor="text1" w:themeTint="FF" w:themeShade="FF"/>
        </w:rPr>
        <w:t>Gohn</w:t>
      </w:r>
      <w:r w:rsidRPr="0F2DCA56" w:rsidR="1B40C3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(2016) e ressaltando sua visão de cidadania, ela </w:t>
      </w:r>
      <w:r w:rsidRPr="0F2DCA56" w:rsidR="50F595B1">
        <w:rPr>
          <w:rFonts w:ascii="Times New Roman" w:hAnsi="Times New Roman" w:eastAsia="Times New Roman" w:cs="Times New Roman"/>
          <w:color w:val="000000" w:themeColor="text1" w:themeTint="FF" w:themeShade="FF"/>
        </w:rPr>
        <w:t>destaca</w:t>
      </w:r>
      <w:r w:rsidRPr="0F2DCA56" w:rsidR="1B40C3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: </w:t>
      </w:r>
      <w:r w:rsidRPr="0F2DCA56" w:rsidR="76FDCD5F">
        <w:rPr>
          <w:rFonts w:ascii="Times New Roman" w:hAnsi="Times New Roman" w:eastAsia="Times New Roman" w:cs="Times New Roman"/>
          <w:color w:val="000000" w:themeColor="text1" w:themeTint="FF" w:themeShade="FF"/>
        </w:rPr>
        <w:t>“</w:t>
      </w:r>
      <w:r w:rsidRPr="0F2DCA56" w:rsidR="1B40C38D"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  <w:t>A questão da cidadania não se restringe ao ato de votar. A educação não formal ultrapassa os processos de escolarização, tem a ver com o comportamento dos indivíduos em diferentes espaços da vida.</w:t>
      </w:r>
      <w:r w:rsidRPr="0F2DCA56" w:rsidR="77F33DFC"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  <w:t xml:space="preserve">” </w:t>
      </w:r>
      <w:r w:rsidRPr="0F2DCA56" w:rsidR="77F33DFC">
        <w:rPr>
          <w:rFonts w:ascii="Times New Roman" w:hAnsi="Times New Roman" w:eastAsia="Times New Roman" w:cs="Times New Roman"/>
          <w:color w:val="000000" w:themeColor="text1" w:themeTint="FF" w:themeShade="FF"/>
        </w:rPr>
        <w:t>(</w:t>
      </w:r>
      <w:r w:rsidRPr="0F2DCA56" w:rsidR="77F33DFC">
        <w:rPr>
          <w:rFonts w:ascii="Times New Roman" w:hAnsi="Times New Roman" w:eastAsia="Times New Roman" w:cs="Times New Roman"/>
          <w:color w:val="000000" w:themeColor="text1" w:themeTint="FF" w:themeShade="FF"/>
        </w:rPr>
        <w:t>Gohn</w:t>
      </w:r>
      <w:r w:rsidRPr="0F2DCA56" w:rsidR="77F33DFC">
        <w:rPr>
          <w:rFonts w:ascii="Times New Roman" w:hAnsi="Times New Roman" w:eastAsia="Times New Roman" w:cs="Times New Roman"/>
          <w:color w:val="000000" w:themeColor="text1" w:themeTint="FF" w:themeShade="FF"/>
        </w:rPr>
        <w:t>, 2016, p. 71)</w:t>
      </w:r>
      <w:r w:rsidRPr="0F2DCA56" w:rsidR="48EEA6B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  <w:r w:rsidRPr="0F2DCA56" w:rsidR="48EEA6B0"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  <w:t>Ao influenciar comportamentos, valores e práticas sociais em diferentes contextos, essa modalidade educativa favorece o desenvolvimento da consciência cidadã, estimulando a participação social, o engajamento coletivo e a construção de uma sociedade mais democrática e inclusiva.</w:t>
      </w:r>
    </w:p>
    <w:p w:rsidR="0F2DCA56" w:rsidP="0F2DCA56" w:rsidRDefault="0F2DCA56" w14:paraId="702283AB" w14:textId="7FFA055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</w:p>
    <w:p w:rsidR="00D25500" w:rsidP="73E020A0" w:rsidRDefault="4593D834" w14:paraId="455AFE1E" w14:textId="0734096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Complementando essa discussão, o referencial teórico também se baseia nas análises de Nídia Carneiro Batista, Elisa Maria Andrade Brisola e Celso Augusto dos Santos Gomes sobre o projeto </w:t>
      </w:r>
      <w:r w:rsidRPr="0F2DCA56" w:rsidR="4593D83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Ballet para todos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, que ocorreu em Varginha</w:t>
      </w:r>
      <w:r w:rsidRPr="0F2DCA56" w:rsidR="1A5B27C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– Minas Gerais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. Como indicam os autores, “</w:t>
      </w:r>
      <w:r w:rsidRPr="0F2DCA56" w:rsidR="713D5BFB">
        <w:rPr>
          <w:rFonts w:ascii="Times New Roman" w:hAnsi="Times New Roman" w:eastAsia="Times New Roman" w:cs="Times New Roman"/>
          <w:color w:val="000000" w:themeColor="text1" w:themeTint="FF" w:themeShade="FF"/>
        </w:rPr>
        <w:t>a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s narrativas das participantes do Projeto ‘Ballet para todos’ expuseram, dentre outros aspectos, a importância de políticas públicas para favorecer a inclusão social, tanto no sentido objetivo quanto subjetivo” (B</w:t>
      </w:r>
      <w:r w:rsidRPr="0F2DCA56" w:rsidR="3405427A">
        <w:rPr>
          <w:rFonts w:ascii="Times New Roman" w:hAnsi="Times New Roman" w:eastAsia="Times New Roman" w:cs="Times New Roman"/>
          <w:color w:val="000000" w:themeColor="text1" w:themeTint="FF" w:themeShade="FF"/>
        </w:rPr>
        <w:t>atista</w:t>
      </w:r>
      <w:r w:rsidRPr="0F2DCA56" w:rsidR="6F5CE023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</w:t>
      </w:r>
      <w:r w:rsidRPr="0F2DCA56" w:rsidR="13FB49B7">
        <w:rPr>
          <w:rFonts w:ascii="Times New Roman" w:hAnsi="Times New Roman" w:eastAsia="Times New Roman" w:cs="Times New Roman"/>
          <w:color w:val="000000" w:themeColor="text1" w:themeTint="FF" w:themeShade="FF"/>
        </w:rPr>
        <w:t>risola</w:t>
      </w:r>
      <w:r w:rsidRPr="0F2DCA56" w:rsidR="1FCA863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 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G</w:t>
      </w:r>
      <w:r w:rsidRPr="0F2DCA56" w:rsidR="30A43587">
        <w:rPr>
          <w:rFonts w:ascii="Times New Roman" w:hAnsi="Times New Roman" w:eastAsia="Times New Roman" w:cs="Times New Roman"/>
          <w:color w:val="000000" w:themeColor="text1" w:themeTint="FF" w:themeShade="FF"/>
        </w:rPr>
        <w:t>omes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, 2023</w:t>
      </w:r>
      <w:r w:rsidRPr="0F2DCA56" w:rsidR="2847F95F">
        <w:rPr>
          <w:rFonts w:ascii="Times New Roman" w:hAnsi="Times New Roman" w:eastAsia="Times New Roman" w:cs="Times New Roman"/>
          <w:color w:val="000000" w:themeColor="text1" w:themeTint="FF" w:themeShade="FF"/>
        </w:rPr>
        <w:t>, p. 63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)</w:t>
      </w:r>
      <w:r w:rsidRPr="0F2DCA56" w:rsidR="1338D591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</w:p>
    <w:p w:rsidR="0F2DCA56" w:rsidP="0F2DCA56" w:rsidRDefault="0F2DCA56" w14:paraId="0F6D2404" w14:textId="5DBBD6FC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</w:p>
    <w:p w:rsidR="1C923E4B" w:rsidP="0F2DCA56" w:rsidRDefault="1C923E4B" w14:paraId="41B4019B" w14:textId="0CB7AE22">
      <w:pPr>
        <w:pStyle w:val="Normal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0F2DCA56" w:rsidR="1C923E4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Eles também destacam a </w:t>
      </w:r>
      <w:r w:rsidRPr="0F2DCA56" w:rsidR="51F244F4">
        <w:rPr>
          <w:rFonts w:ascii="Times New Roman" w:hAnsi="Times New Roman" w:eastAsia="Times New Roman" w:cs="Times New Roman"/>
          <w:color w:val="000000" w:themeColor="text1" w:themeTint="FF" w:themeShade="FF"/>
        </w:rPr>
        <w:t>importância</w:t>
      </w:r>
      <w:r w:rsidRPr="0F2DCA56" w:rsidR="1C923E4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da cidadania, uma parte que conversa mais diretamente com </w:t>
      </w:r>
      <w:r w:rsidRPr="0F2DCA56" w:rsidR="1C923E4B">
        <w:rPr>
          <w:rFonts w:ascii="Times New Roman" w:hAnsi="Times New Roman" w:eastAsia="Times New Roman" w:cs="Times New Roman"/>
          <w:color w:val="000000" w:themeColor="text1" w:themeTint="FF" w:themeShade="FF"/>
        </w:rPr>
        <w:t>Gohn</w:t>
      </w:r>
      <w:r w:rsidRPr="0F2DCA56" w:rsidR="1C923E4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(2016), </w:t>
      </w:r>
      <w:r w:rsidRPr="0F2DCA56" w:rsidR="36B74A01">
        <w:rPr>
          <w:rFonts w:ascii="Times New Roman" w:hAnsi="Times New Roman" w:eastAsia="Times New Roman" w:cs="Times New Roman"/>
          <w:color w:val="000000" w:themeColor="text1" w:themeTint="FF" w:themeShade="FF"/>
        </w:rPr>
        <w:t>salientando</w:t>
      </w:r>
      <w:r w:rsidRPr="0F2DCA56" w:rsidR="1C923E4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que </w:t>
      </w:r>
      <w:r w:rsidRPr="0F2DCA56" w:rsidR="51683501">
        <w:rPr>
          <w:rFonts w:ascii="Times New Roman" w:hAnsi="Times New Roman" w:eastAsia="Times New Roman" w:cs="Times New Roman"/>
          <w:color w:val="000000" w:themeColor="text1" w:themeTint="FF" w:themeShade="FF"/>
        </w:rPr>
        <w:t>“</w:t>
      </w:r>
      <w:r w:rsidRPr="0F2DCA56" w:rsidR="51683501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t-BR"/>
        </w:rPr>
        <w:t>é fundamental apontar que, na dança, as possibilidades de trocas entre os sujeitos com suas singularidades proporcionam o exercício de uma cidadania com capacidade crítica, reflexiva, criativa, onde o indivíduo se torna capaz de olhar para si mesmo compreendendo suas dificuldades, para superar seus limites.”</w:t>
      </w:r>
      <w:r w:rsidRPr="0F2DCA56" w:rsidR="2630734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t-BR"/>
        </w:rPr>
        <w:t xml:space="preserve"> </w:t>
      </w:r>
      <w:r w:rsidRPr="0F2DCA56" w:rsidR="2630734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(Batista, </w:t>
      </w:r>
      <w:r w:rsidRPr="0F2DCA56" w:rsidR="26307342">
        <w:rPr>
          <w:rFonts w:ascii="Times New Roman" w:hAnsi="Times New Roman" w:eastAsia="Times New Roman" w:cs="Times New Roman"/>
          <w:color w:val="000000" w:themeColor="text1" w:themeTint="FF" w:themeShade="FF"/>
        </w:rPr>
        <w:t>Brisola</w:t>
      </w:r>
      <w:r w:rsidRPr="0F2DCA56" w:rsidR="2630734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 Gomes, 2023, p. 51).</w:t>
      </w:r>
      <w:r w:rsidRPr="0F2DCA56" w:rsidR="61BDB95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F2DCA56" w:rsidR="61BDB953"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  <w:t>Assim, a dança se configura como um importante meio para a realização de práticas inclusivas, favorecendo a formação de uma sociedade mais justa, democrática e atenta às diversidades.</w:t>
      </w:r>
    </w:p>
    <w:p w:rsidR="00D25500" w:rsidRDefault="00D25500" w14:paraId="23D4E750" w14:textId="75FD2CBC">
      <w:pPr>
        <w:spacing w:after="0" w:line="240" w:lineRule="auto"/>
        <w:jc w:val="right"/>
      </w:pPr>
    </w:p>
    <w:p w:rsidR="00D25500" w:rsidP="73E020A0" w:rsidRDefault="4593D834" w14:paraId="4201E004" w14:textId="60283B2C">
      <w:pPr>
        <w:spacing w:after="0" w:line="240" w:lineRule="auto"/>
        <w:ind w:firstLine="708"/>
        <w:jc w:val="both"/>
      </w:pPr>
      <w:r w:rsidRPr="73E020A0">
        <w:rPr>
          <w:rFonts w:ascii="Times New Roman" w:hAnsi="Times New Roman" w:eastAsia="Times New Roman" w:cs="Times New Roman"/>
          <w:color w:val="000000" w:themeColor="text1"/>
        </w:rPr>
        <w:t>A prática do ballet, portanto, possibilita o desenvolvimento de habilidades individuais e a superação de desafios interpessoais, medos e preconceitos, evidenciando que a dança tem um papel crucial na formação social, emocional e cívica das pessoas envolvidas. Assim, o ballet é visto não apenas como uma forma de arte, mas também como um meio de inclusão social, facilitado por políticas públicas e por processos educativos que interagem com a educação não formal.</w:t>
      </w:r>
    </w:p>
    <w:p w:rsidR="00D25500" w:rsidRDefault="00D25500" w14:paraId="4DF51B73" w14:textId="317C1989">
      <w:pPr>
        <w:spacing w:after="0" w:line="240" w:lineRule="auto"/>
        <w:jc w:val="right"/>
      </w:pPr>
    </w:p>
    <w:p w:rsidR="00D25500" w:rsidP="73E020A0" w:rsidRDefault="4593D834" w14:paraId="72607647" w14:textId="47C6CF3B">
      <w:pPr>
        <w:spacing w:after="0" w:line="240" w:lineRule="auto"/>
        <w:jc w:val="both"/>
      </w:pP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PROCEDIMENTOS METODOLÓGICOS: </w:t>
      </w:r>
    </w:p>
    <w:p w:rsidR="00D25500" w:rsidRDefault="00D25500" w14:paraId="2094FD93" w14:textId="51AD1F93">
      <w:pPr>
        <w:spacing w:after="0" w:line="240" w:lineRule="auto"/>
        <w:jc w:val="right"/>
      </w:pPr>
    </w:p>
    <w:p w:rsidR="00D25500" w:rsidP="73E020A0" w:rsidRDefault="4593D834" w14:paraId="2F4FFDBB" w14:textId="559D998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A pesquisa é de caráter qualitativo, </w:t>
      </w:r>
      <w:r w:rsidRPr="73E020A0" w:rsidR="0EC7F490">
        <w:rPr>
          <w:rFonts w:ascii="Times New Roman" w:hAnsi="Times New Roman" w:eastAsia="Times New Roman" w:cs="Times New Roman"/>
          <w:color w:val="000000" w:themeColor="text1"/>
        </w:rPr>
        <w:t xml:space="preserve">desenvolvida com base </w:t>
      </w:r>
      <w:r w:rsidRPr="73E020A0" w:rsidR="3B75A5FC">
        <w:rPr>
          <w:rFonts w:ascii="Times New Roman" w:hAnsi="Times New Roman" w:eastAsia="Times New Roman" w:cs="Times New Roman"/>
          <w:color w:val="000000" w:themeColor="text1"/>
        </w:rPr>
        <w:t>em</w:t>
      </w:r>
      <w:r w:rsidRPr="73E020A0" w:rsidR="0EC7F490">
        <w:rPr>
          <w:rFonts w:ascii="Times New Roman" w:hAnsi="Times New Roman" w:eastAsia="Times New Roman" w:cs="Times New Roman"/>
          <w:color w:val="000000" w:themeColor="text1"/>
        </w:rPr>
        <w:t xml:space="preserve"> revisão 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>bibliográfic</w:t>
      </w:r>
      <w:r w:rsidRPr="73E020A0" w:rsidR="56270B01">
        <w:rPr>
          <w:rFonts w:ascii="Times New Roman" w:hAnsi="Times New Roman" w:eastAsia="Times New Roman" w:cs="Times New Roman"/>
          <w:color w:val="000000" w:themeColor="text1"/>
        </w:rPr>
        <w:t>a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>, embasada na análise d</w:t>
      </w:r>
      <w:r w:rsidRPr="73E020A0" w:rsidR="0FEABE89">
        <w:rPr>
          <w:rFonts w:ascii="Times New Roman" w:hAnsi="Times New Roman" w:eastAsia="Times New Roman" w:cs="Times New Roman"/>
          <w:color w:val="000000" w:themeColor="text1"/>
        </w:rPr>
        <w:t>os textos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 de Maria da Glória Gohn</w:t>
      </w:r>
      <w:r w:rsidRPr="73E020A0" w:rsidR="3DAA6F74">
        <w:rPr>
          <w:rFonts w:ascii="Times New Roman" w:hAnsi="Times New Roman" w:eastAsia="Times New Roman" w:cs="Times New Roman"/>
          <w:color w:val="000000" w:themeColor="text1"/>
        </w:rPr>
        <w:t xml:space="preserve">; 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 Nídia Carneiro Batista, Elisa Maria Andrade Brisola e Celso Augusto dos Santos Gomes. A partir das ideias desses autores, realiza-se uma articulação teórica entre os conceitos de educação não formal e as evidências do ballet como prática educativa em contexto de vulnerabilidade social</w:t>
      </w:r>
      <w:r w:rsidRPr="73E020A0" w:rsidR="19322B1F">
        <w:rPr>
          <w:rFonts w:ascii="Times New Roman" w:hAnsi="Times New Roman" w:eastAsia="Times New Roman" w:cs="Times New Roman"/>
          <w:color w:val="000000" w:themeColor="text1"/>
        </w:rPr>
        <w:t>.</w:t>
      </w:r>
    </w:p>
    <w:p w:rsidR="00D25500" w:rsidRDefault="00D25500" w14:paraId="497463B1" w14:textId="0F08ABF8">
      <w:pPr>
        <w:spacing w:after="0" w:line="240" w:lineRule="auto"/>
        <w:jc w:val="right"/>
      </w:pPr>
    </w:p>
    <w:p w:rsidR="00D25500" w:rsidP="73E020A0" w:rsidRDefault="4593D834" w14:paraId="0F009EB7" w14:textId="4AEE31F4">
      <w:pPr>
        <w:spacing w:after="0" w:line="240" w:lineRule="auto"/>
        <w:jc w:val="both"/>
      </w:pP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>ANÁLISE DE DADOS E RESULTADOS FINAIS DA PESQUISA: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00D25500" w:rsidRDefault="00D25500" w14:paraId="17548832" w14:textId="6AEA2BBB">
      <w:pPr>
        <w:spacing w:after="0" w:line="240" w:lineRule="auto"/>
        <w:jc w:val="right"/>
      </w:pPr>
    </w:p>
    <w:p w:rsidR="00D25500" w:rsidP="73E020A0" w:rsidRDefault="11948861" w14:paraId="0B177C6C" w14:textId="17F794B2">
      <w:pPr>
        <w:spacing w:after="0" w:line="240" w:lineRule="auto"/>
        <w:ind w:firstLine="708"/>
        <w:jc w:val="both"/>
      </w:pPr>
      <w:r w:rsidRPr="0F2DCA56" w:rsidR="1194886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Dentre as 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categorias centrais</w:t>
      </w:r>
      <w:r w:rsidRPr="0F2DCA56" w:rsidR="72D5CD4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que envolvem a dança como prática educativa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</w:t>
      </w:r>
      <w:r w:rsidRPr="0F2DCA56" w:rsidR="41064BE0">
        <w:rPr>
          <w:rFonts w:ascii="Times New Roman" w:hAnsi="Times New Roman" w:eastAsia="Times New Roman" w:cs="Times New Roman"/>
          <w:color w:val="000000" w:themeColor="text1" w:themeTint="FF" w:themeShade="FF"/>
        </w:rPr>
        <w:t>destacam-se: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autoestima, disciplina, convivência social, respeito às diferenças, comunicação, liderança e construção de projetos de vida. </w:t>
      </w:r>
      <w:r w:rsidRPr="0F2DCA56" w:rsidR="5214A912">
        <w:rPr>
          <w:rFonts w:ascii="Times New Roman" w:hAnsi="Times New Roman" w:eastAsia="Times New Roman" w:cs="Times New Roman"/>
          <w:color w:val="000000" w:themeColor="text1" w:themeTint="FF" w:themeShade="FF"/>
        </w:rPr>
        <w:t>A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inda </w:t>
      </w:r>
      <w:r w:rsidRPr="0F2DCA56" w:rsidR="2392DDDE">
        <w:rPr>
          <w:rFonts w:ascii="Times New Roman" w:hAnsi="Times New Roman" w:eastAsia="Times New Roman" w:cs="Times New Roman"/>
          <w:color w:val="000000" w:themeColor="text1" w:themeTint="FF" w:themeShade="FF"/>
        </w:rPr>
        <w:t>as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si</w:t>
      </w:r>
      <w:r w:rsidRPr="0F2DCA56" w:rsidR="7450FD7F">
        <w:rPr>
          <w:rFonts w:ascii="Times New Roman" w:hAnsi="Times New Roman" w:eastAsia="Times New Roman" w:cs="Times New Roman"/>
          <w:color w:val="000000" w:themeColor="text1" w:themeTint="FF" w:themeShade="FF"/>
        </w:rPr>
        <w:t>m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, reconhece</w:t>
      </w:r>
      <w:r w:rsidRPr="0F2DCA56" w:rsidR="15F02A1A">
        <w:rPr>
          <w:rFonts w:ascii="Times New Roman" w:hAnsi="Times New Roman" w:eastAsia="Times New Roman" w:cs="Times New Roman"/>
          <w:color w:val="000000" w:themeColor="text1" w:themeTint="FF" w:themeShade="FF"/>
        </w:rPr>
        <w:t>m</w:t>
      </w:r>
      <w:r w:rsidRPr="0F2DCA56" w:rsidR="12D6147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-se 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>os limites dessa inclusão pelas condições estruturais da sociedade</w:t>
      </w:r>
      <w:r w:rsidRPr="0F2DCA56" w:rsidR="51E6E93B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expressa</w:t>
      </w:r>
      <w:r w:rsidRPr="0F2DCA56" w:rsidR="08FD169A">
        <w:rPr>
          <w:rFonts w:ascii="Times New Roman" w:hAnsi="Times New Roman" w:eastAsia="Times New Roman" w:cs="Times New Roman"/>
          <w:color w:val="000000" w:themeColor="text1" w:themeTint="FF" w:themeShade="FF"/>
        </w:rPr>
        <w:t>s</w:t>
      </w:r>
      <w:r w:rsidRPr="0F2DCA56" w:rsidR="4593D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nos marcadores de classe, raça e gênero.</w:t>
      </w:r>
    </w:p>
    <w:p w:rsidR="0F2DCA56" w:rsidP="0F2DCA56" w:rsidRDefault="0F2DCA56" w14:paraId="44EE8962" w14:textId="4393B63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</w:p>
    <w:p w:rsidR="00D25500" w:rsidP="73E020A0" w:rsidRDefault="4593D834" w14:paraId="08A10970" w14:textId="5C33FBA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73E020A0">
        <w:rPr>
          <w:rFonts w:ascii="Times New Roman" w:hAnsi="Times New Roman" w:eastAsia="Times New Roman" w:cs="Times New Roman"/>
          <w:color w:val="000000" w:themeColor="text1"/>
        </w:rPr>
        <w:t>O ballet, ao ser integrado a projetos sociais, configura-se, portanto, como uma prática eficaz de educação não formal, contribuindo para a inclusão social e garantindo o acesso à cultura como direito. Entretanto, é importante reconhecer que, apesar de provocar mudanças significativas nas vidas d</w:t>
      </w:r>
      <w:r w:rsidRPr="73E020A0" w:rsidR="57C8A3F3">
        <w:rPr>
          <w:rFonts w:ascii="Times New Roman" w:hAnsi="Times New Roman" w:eastAsia="Times New Roman" w:cs="Times New Roman"/>
          <w:color w:val="000000" w:themeColor="text1"/>
        </w:rPr>
        <w:t>os sujeitos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>, essa prática esbarra nas desigualdades estruturais da sociedade, o que torna ainda mais urgente a implementação de políticas públicas que garantam e ampliem o acesso à arte e à cultura.</w:t>
      </w:r>
    </w:p>
    <w:p w:rsidR="00D25500" w:rsidP="73E020A0" w:rsidRDefault="00D25500" w14:paraId="04B461BC" w14:textId="13DED7FF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color w:val="000000" w:themeColor="text1"/>
        </w:rPr>
      </w:pPr>
    </w:p>
    <w:p w:rsidR="00D25500" w:rsidP="73E020A0" w:rsidRDefault="4593D834" w14:paraId="2344AA90" w14:textId="35BC5256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0F2DCA56" w:rsidR="4593D83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CONSIDERAÇÕES</w:t>
      </w:r>
      <w:r w:rsidRPr="0F2DCA56" w:rsidR="607AF4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FINAIS</w:t>
      </w:r>
    </w:p>
    <w:p w:rsidR="0F2DCA56" w:rsidP="0F2DCA56" w:rsidRDefault="0F2DCA56" w14:paraId="2207E1D8" w14:textId="45542E77">
      <w:pPr>
        <w:spacing w:after="0" w:line="24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</w:p>
    <w:p w:rsidR="215764AC" w:rsidP="47EB6041" w:rsidRDefault="215764AC" w14:paraId="30DF3B95" w14:textId="0AF03382">
      <w:pPr>
        <w:pStyle w:val="Normal"/>
        <w:spacing w:after="0" w:line="240" w:lineRule="auto"/>
        <w:ind w:firstLine="708"/>
        <w:jc w:val="both"/>
      </w:pPr>
      <w:r w:rsidRPr="47EB6041" w:rsidR="215764AC"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  <w:t xml:space="preserve">Conclui-se, então, que o ballet, no contexto da educação não formal, deixa de ser apenas uma arte para a elite e se transforma em uma estratégia de resistência e cidadania. Segundo </w:t>
      </w:r>
      <w:r w:rsidRPr="47EB6041" w:rsidR="215764AC"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  <w:t>Gohn</w:t>
      </w:r>
      <w:r w:rsidRPr="47EB6041" w:rsidR="215764AC"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  <w:t xml:space="preserve"> (2016), o que se observa em práticas de projetos sociais é que, ao se criar um espaço de aprendizado, as pessoas, os alunos, também aprende a se colocar no mundo, ganhando autonomia e consciência social.</w:t>
      </w:r>
    </w:p>
    <w:p w:rsidR="0F2DCA56" w:rsidP="0F2DCA56" w:rsidRDefault="0F2DCA56" w14:paraId="3E28DCEF" w14:textId="18A1565F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</w:pPr>
    </w:p>
    <w:p w:rsidR="2DF96DD4" w:rsidP="47EB6041" w:rsidRDefault="2DF96DD4" w14:paraId="3CF3CFA2" w14:textId="62FFF413">
      <w:pPr>
        <w:pStyle w:val="Normal"/>
        <w:spacing w:after="0" w:line="240" w:lineRule="auto"/>
        <w:ind w:firstLine="708"/>
        <w:jc w:val="both"/>
      </w:pPr>
      <w:r w:rsidRPr="47EB6041" w:rsidR="2DF96DD4"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  <w:t>Os dados e reflexões de Batista, Brisola e Gomes (2023) sustentam que o efeito mais significativo do ballet em situações de vulnerabilidade se dá no aspecto subjetivo. A elevação da autoestima e a reconfiguração dos planos de vida das jovens evidenciam que a dança atua como um "divisor de águas". No entanto, o texto reconhece que essa inclusão esbarra no preconceito e na desigualdade estrutural, exigindo um cuidado para que a ação não fique como um esforço solitário, mas sim parte de uma rede de apoio maior.</w:t>
      </w:r>
    </w:p>
    <w:p w:rsidR="0F2DCA56" w:rsidP="0F2DCA56" w:rsidRDefault="0F2DCA56" w14:paraId="318FE740" w14:textId="2D8AF6FA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</w:pPr>
    </w:p>
    <w:p w:rsidR="0342288C" w:rsidP="47EB6041" w:rsidRDefault="0342288C" w14:paraId="0967CC0D" w14:textId="06A9AEA5">
      <w:pPr>
        <w:pStyle w:val="Normal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</w:pPr>
      <w:r w:rsidRPr="47EB6041" w:rsidR="0342288C">
        <w:rPr>
          <w:rFonts w:ascii="Times New Roman" w:hAnsi="Times New Roman" w:eastAsia="Times New Roman" w:cs="Times New Roman"/>
          <w:noProof w:val="0"/>
          <w:sz w:val="22"/>
          <w:szCs w:val="22"/>
          <w:lang w:val="pt-BR"/>
        </w:rPr>
        <w:t>Dessa forma, podemos afirmar que o ballet fora do ambiente escolar constitui um saber educativo legítimo e capaz de promover transformações. A pesquisa destaca a urgência de políticas públicas que tornem o acesso à arte mais democrático, reconhecendo-a como um direito essencial e não como um privilégio.</w:t>
      </w:r>
    </w:p>
    <w:p w:rsidR="00D25500" w:rsidP="73E020A0" w:rsidRDefault="4593D834" w14:paraId="0AF6A17D" w14:textId="56F25B75">
      <w:pPr>
        <w:spacing w:before="240" w:after="240" w:line="240" w:lineRule="auto"/>
        <w:jc w:val="both"/>
      </w:pP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REFERÊNCIAS </w:t>
      </w:r>
    </w:p>
    <w:p w:rsidR="00D25500" w:rsidP="73E020A0" w:rsidRDefault="4593D834" w14:paraId="3E5B8D01" w14:textId="7AA3AD4E">
      <w:pPr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GOHN, Maria da Glória. Educação não formal nas instituições sociais. </w:t>
      </w: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>Revista Pedagógica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, Chapecó, v. 18, n. 39, p. 59-75, set./dez. 2016. </w:t>
      </w:r>
      <w:r w:rsidRPr="73E020A0" w:rsidR="0BA69098">
        <w:rPr>
          <w:rFonts w:ascii="Times New Roman" w:hAnsi="Times New Roman" w:eastAsia="Times New Roman" w:cs="Times New Roman"/>
          <w:color w:val="000000" w:themeColor="text1"/>
        </w:rPr>
        <w:t>Dispon</w:t>
      </w:r>
      <w:r w:rsidRPr="73E020A0" w:rsidR="3C59B0A1">
        <w:rPr>
          <w:rFonts w:ascii="Times New Roman" w:hAnsi="Times New Roman" w:eastAsia="Times New Roman" w:cs="Times New Roman"/>
          <w:color w:val="000000" w:themeColor="text1"/>
        </w:rPr>
        <w:t>í</w:t>
      </w:r>
      <w:r w:rsidRPr="73E020A0" w:rsidR="0BA69098">
        <w:rPr>
          <w:rFonts w:ascii="Times New Roman" w:hAnsi="Times New Roman" w:eastAsia="Times New Roman" w:cs="Times New Roman"/>
          <w:color w:val="000000" w:themeColor="text1"/>
        </w:rPr>
        <w:t>vel em &lt;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73E020A0">
        <w:rPr>
          <w:rFonts w:ascii="Times New Roman" w:hAnsi="Times New Roman" w:eastAsia="Times New Roman" w:cs="Times New Roman"/>
        </w:rPr>
        <w:t>http://dx.doi.org/10.22196/rp.v18i39.3615</w:t>
      </w:r>
      <w:r w:rsidRPr="73E020A0" w:rsidR="48D267CB">
        <w:rPr>
          <w:rFonts w:ascii="Times New Roman" w:hAnsi="Times New Roman" w:eastAsia="Times New Roman" w:cs="Times New Roman"/>
        </w:rPr>
        <w:t xml:space="preserve"> &gt;. Acesso em 02/05/2026.</w:t>
      </w:r>
    </w:p>
    <w:p w:rsidR="00D25500" w:rsidP="73E020A0" w:rsidRDefault="4593D834" w14:paraId="1C6EF30F" w14:textId="10AFDA47">
      <w:pPr>
        <w:spacing w:before="240" w:after="240" w:line="240" w:lineRule="auto"/>
        <w:jc w:val="both"/>
      </w:pP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BATISTA, Nídia Carneiro; BRISOLA, Elisa Maria Andrade; GOMES, Celso Augusto dos Santos. Dança e inclusão social: limites e possibilidades. </w:t>
      </w:r>
      <w:r w:rsidRPr="73E020A0">
        <w:rPr>
          <w:rFonts w:ascii="Times New Roman" w:hAnsi="Times New Roman" w:eastAsia="Times New Roman" w:cs="Times New Roman"/>
          <w:b/>
          <w:bCs/>
          <w:color w:val="000000" w:themeColor="text1"/>
        </w:rPr>
        <w:t>Interação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: Revista de Ensino, Pesquisa e Extensão, Varginha, MG, v. 25, n. 1, p. 50-65, 2023. </w:t>
      </w:r>
      <w:r w:rsidRPr="73E020A0" w:rsidR="39CE8E0B">
        <w:rPr>
          <w:rFonts w:ascii="Times New Roman" w:hAnsi="Times New Roman" w:eastAsia="Times New Roman" w:cs="Times New Roman"/>
          <w:color w:val="000000" w:themeColor="text1"/>
        </w:rPr>
        <w:t>Disponível em</w:t>
      </w:r>
      <w:r w:rsidRPr="73E020A0">
        <w:rPr>
          <w:rFonts w:ascii="Times New Roman" w:hAnsi="Times New Roman" w:eastAsia="Times New Roman" w:cs="Times New Roman"/>
          <w:color w:val="000000" w:themeColor="text1"/>
        </w:rPr>
        <w:t xml:space="preserve">: </w:t>
      </w:r>
      <w:r w:rsidRPr="73E020A0" w:rsidR="1D4B122D">
        <w:rPr>
          <w:rFonts w:ascii="Times New Roman" w:hAnsi="Times New Roman" w:eastAsia="Times New Roman" w:cs="Times New Roman"/>
          <w:color w:val="000000" w:themeColor="text1"/>
        </w:rPr>
        <w:t xml:space="preserve">&lt; </w:t>
      </w:r>
      <w:r w:rsidRPr="73E020A0">
        <w:rPr>
          <w:rFonts w:ascii="Times New Roman" w:hAnsi="Times New Roman" w:eastAsia="Times New Roman" w:cs="Times New Roman"/>
        </w:rPr>
        <w:t>http://dx.doi.org/10.33836/interacao.v25i1.774</w:t>
      </w:r>
      <w:r w:rsidRPr="73E020A0" w:rsidR="77783A66">
        <w:rPr>
          <w:rFonts w:ascii="Times New Roman" w:hAnsi="Times New Roman" w:eastAsia="Times New Roman" w:cs="Times New Roman"/>
          <w:color w:val="000000" w:themeColor="text1"/>
        </w:rPr>
        <w:t xml:space="preserve"> &gt;. Acesso em 02/05/2026.</w:t>
      </w:r>
    </w:p>
    <w:p w:rsidR="00D25500" w:rsidRDefault="00D25500" w14:paraId="2325E5B8" w14:textId="1ADA19C6">
      <w:pPr>
        <w:spacing w:after="0" w:line="240" w:lineRule="auto"/>
        <w:jc w:val="right"/>
      </w:pPr>
    </w:p>
    <w:p w:rsidR="00D25500" w:rsidP="73E020A0" w:rsidRDefault="00D25500" w14:paraId="59B13BC6" w14:textId="55BF2F9E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sectPr w:rsidR="00D25500">
      <w:headerReference w:type="default" r:id="rId6"/>
      <w:footerReference w:type="default" r:id="rId7"/>
      <w:pgSz w:w="11906" w:h="16838" w:orient="portrait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076D" w:rsidRDefault="00E4076D" w14:paraId="10779F08" w14:textId="77777777">
      <w:pPr>
        <w:spacing w:line="240" w:lineRule="auto"/>
      </w:pPr>
      <w:r>
        <w:separator/>
      </w:r>
    </w:p>
  </w:endnote>
  <w:endnote w:type="continuationSeparator" w:id="0">
    <w:p w:rsidR="00E4076D" w:rsidRDefault="00E4076D" w14:paraId="62667A8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3E020A0" w:rsidTr="73E020A0" w14:paraId="586A7F0A" w14:textId="77777777">
      <w:trPr>
        <w:trHeight w:val="300"/>
      </w:trPr>
      <w:tc>
        <w:tcPr>
          <w:tcW w:w="3020" w:type="dxa"/>
        </w:tcPr>
        <w:p w:rsidR="73E020A0" w:rsidP="73E020A0" w:rsidRDefault="73E020A0" w14:paraId="0EF25CEA" w14:textId="7E207830">
          <w:pPr>
            <w:pStyle w:val="Cabealho"/>
            <w:ind w:left="-115"/>
          </w:pPr>
        </w:p>
      </w:tc>
      <w:tc>
        <w:tcPr>
          <w:tcW w:w="3020" w:type="dxa"/>
        </w:tcPr>
        <w:p w:rsidR="73E020A0" w:rsidP="73E020A0" w:rsidRDefault="73E020A0" w14:paraId="1F13032D" w14:textId="434C3097">
          <w:pPr>
            <w:pStyle w:val="Cabealho"/>
            <w:jc w:val="center"/>
          </w:pPr>
        </w:p>
      </w:tc>
      <w:tc>
        <w:tcPr>
          <w:tcW w:w="3020" w:type="dxa"/>
        </w:tcPr>
        <w:p w:rsidR="73E020A0" w:rsidP="73E020A0" w:rsidRDefault="73E020A0" w14:paraId="7D7B2B6F" w14:textId="25C8EEA1">
          <w:pPr>
            <w:pStyle w:val="Cabealho"/>
            <w:ind w:right="-115"/>
            <w:jc w:val="right"/>
          </w:pPr>
        </w:p>
      </w:tc>
    </w:tr>
  </w:tbl>
  <w:p w:rsidR="73E020A0" w:rsidP="73E020A0" w:rsidRDefault="73E020A0" w14:paraId="0C493CB5" w14:textId="4A0F71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076D" w:rsidRDefault="00E4076D" w14:paraId="12B1D784" w14:textId="77777777">
      <w:pPr>
        <w:spacing w:after="0"/>
      </w:pPr>
      <w:r>
        <w:separator/>
      </w:r>
    </w:p>
  </w:footnote>
  <w:footnote w:type="continuationSeparator" w:id="0">
    <w:p w:rsidR="00E4076D" w:rsidRDefault="00E4076D" w14:paraId="2C7CF522" w14:textId="77777777">
      <w:pPr>
        <w:spacing w:after="0"/>
      </w:pPr>
      <w:r>
        <w:continuationSeparator/>
      </w:r>
    </w:p>
  </w:footnote>
  <w:footnote w:id="1">
    <w:p w:rsidR="73E020A0" w:rsidP="73E020A0" w:rsidRDefault="73E020A0" w14:paraId="5740A9E7" w14:textId="70CF7237">
      <w:pPr>
        <w:pStyle w:val="Textodenotaderodap"/>
        <w:rPr>
          <w:rFonts w:eastAsia="Times New Roman"/>
          <w:sz w:val="22"/>
          <w:szCs w:val="22"/>
        </w:rPr>
      </w:pPr>
      <w:r w:rsidRPr="73E020A0">
        <w:rPr>
          <w:rStyle w:val="Refdenotaderodap"/>
          <w:rFonts w:eastAsia="Times New Roman"/>
          <w:sz w:val="22"/>
          <w:szCs w:val="22"/>
        </w:rPr>
        <w:footnoteRef/>
      </w:r>
      <w:r w:rsidRPr="73E020A0">
        <w:rPr>
          <w:rFonts w:eastAsia="Times New Roman"/>
          <w:sz w:val="22"/>
          <w:szCs w:val="22"/>
        </w:rPr>
        <w:t xml:space="preserve"> Este texto é produto do projeto de pesquisa intitulado “Práticas culturais como ferramentas educativas: contribuições à trajetória escolar e familiar de adolescentes em situação de vulnerabilidade social”, financiado pela FAPEMIG.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25500" w:rsidRDefault="00E4076D" w14:paraId="4A4D817C" w14:textId="77777777">
    <w:pPr>
      <w:pStyle w:val="Cabealho"/>
    </w:pPr>
    <w:r>
      <w:rPr>
        <w:noProof/>
      </w:rPr>
      <w:drawing>
        <wp:inline distT="0" distB="0" distL="114300" distR="114300" wp14:anchorId="740B0581" wp14:editId="0777777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40B324"/>
    <w:rsid w:val="00677F30"/>
    <w:rsid w:val="006A2C63"/>
    <w:rsid w:val="00741E2B"/>
    <w:rsid w:val="00B82A8F"/>
    <w:rsid w:val="00D25500"/>
    <w:rsid w:val="00E4076D"/>
    <w:rsid w:val="00F1647E"/>
    <w:rsid w:val="01237A9D"/>
    <w:rsid w:val="018EE6B2"/>
    <w:rsid w:val="01C94E14"/>
    <w:rsid w:val="0342288C"/>
    <w:rsid w:val="03496945"/>
    <w:rsid w:val="05656B05"/>
    <w:rsid w:val="05F89BED"/>
    <w:rsid w:val="07BB2A79"/>
    <w:rsid w:val="08FD169A"/>
    <w:rsid w:val="0955B940"/>
    <w:rsid w:val="096F822A"/>
    <w:rsid w:val="0BA69098"/>
    <w:rsid w:val="0CE02B42"/>
    <w:rsid w:val="0D0BF19D"/>
    <w:rsid w:val="0E47EE63"/>
    <w:rsid w:val="0EC7F490"/>
    <w:rsid w:val="0F2DCA56"/>
    <w:rsid w:val="0F74F31F"/>
    <w:rsid w:val="0FA1953E"/>
    <w:rsid w:val="0FEABE89"/>
    <w:rsid w:val="101E0A3D"/>
    <w:rsid w:val="11948861"/>
    <w:rsid w:val="12D61471"/>
    <w:rsid w:val="12FFBF3B"/>
    <w:rsid w:val="1338D591"/>
    <w:rsid w:val="13FB49B7"/>
    <w:rsid w:val="15560DAB"/>
    <w:rsid w:val="15F02A1A"/>
    <w:rsid w:val="172CBE52"/>
    <w:rsid w:val="177DA594"/>
    <w:rsid w:val="17E457C8"/>
    <w:rsid w:val="19322B1F"/>
    <w:rsid w:val="1A5B27CB"/>
    <w:rsid w:val="1A894334"/>
    <w:rsid w:val="1B40C38D"/>
    <w:rsid w:val="1C923E4B"/>
    <w:rsid w:val="1D4B122D"/>
    <w:rsid w:val="1DD3CE92"/>
    <w:rsid w:val="1EF63937"/>
    <w:rsid w:val="1FCA8632"/>
    <w:rsid w:val="20820893"/>
    <w:rsid w:val="20BC7925"/>
    <w:rsid w:val="215764AC"/>
    <w:rsid w:val="218C30A0"/>
    <w:rsid w:val="21C9212B"/>
    <w:rsid w:val="221653A0"/>
    <w:rsid w:val="22184B3D"/>
    <w:rsid w:val="2263CF73"/>
    <w:rsid w:val="2392DDDE"/>
    <w:rsid w:val="23D58139"/>
    <w:rsid w:val="25485496"/>
    <w:rsid w:val="25F3DCFD"/>
    <w:rsid w:val="26307342"/>
    <w:rsid w:val="26BABF35"/>
    <w:rsid w:val="26CCA658"/>
    <w:rsid w:val="27CD66DB"/>
    <w:rsid w:val="2809A1F5"/>
    <w:rsid w:val="2846E79C"/>
    <w:rsid w:val="2847F95F"/>
    <w:rsid w:val="2866C4F3"/>
    <w:rsid w:val="2919A99B"/>
    <w:rsid w:val="29CEFA05"/>
    <w:rsid w:val="2A781B3D"/>
    <w:rsid w:val="2ACE3DFF"/>
    <w:rsid w:val="2AD61D1F"/>
    <w:rsid w:val="2C214E6D"/>
    <w:rsid w:val="2C64D95F"/>
    <w:rsid w:val="2D0A23B4"/>
    <w:rsid w:val="2DA14EC2"/>
    <w:rsid w:val="2DF96DD4"/>
    <w:rsid w:val="2F25D2A5"/>
    <w:rsid w:val="2F35F5FF"/>
    <w:rsid w:val="300E07CD"/>
    <w:rsid w:val="30A43587"/>
    <w:rsid w:val="32F58ED3"/>
    <w:rsid w:val="3405427A"/>
    <w:rsid w:val="35B3D793"/>
    <w:rsid w:val="35C9615A"/>
    <w:rsid w:val="35CC65CF"/>
    <w:rsid w:val="35D85E52"/>
    <w:rsid w:val="36B74A01"/>
    <w:rsid w:val="39113C01"/>
    <w:rsid w:val="396F0EEF"/>
    <w:rsid w:val="39CE8E0B"/>
    <w:rsid w:val="3B75A5FC"/>
    <w:rsid w:val="3B94EA41"/>
    <w:rsid w:val="3C59B0A1"/>
    <w:rsid w:val="3CA66DCE"/>
    <w:rsid w:val="3DAA6F74"/>
    <w:rsid w:val="3FEB53CD"/>
    <w:rsid w:val="4062248E"/>
    <w:rsid w:val="40958CD4"/>
    <w:rsid w:val="41064BE0"/>
    <w:rsid w:val="4126C5E8"/>
    <w:rsid w:val="418672A5"/>
    <w:rsid w:val="41DA0E2C"/>
    <w:rsid w:val="4395F072"/>
    <w:rsid w:val="43D1CA48"/>
    <w:rsid w:val="43EA6DD6"/>
    <w:rsid w:val="456A322A"/>
    <w:rsid w:val="4593D834"/>
    <w:rsid w:val="47D053AC"/>
    <w:rsid w:val="47D7C4CF"/>
    <w:rsid w:val="47EB6041"/>
    <w:rsid w:val="483D4C72"/>
    <w:rsid w:val="48D267CB"/>
    <w:rsid w:val="48EEA6B0"/>
    <w:rsid w:val="4AC02575"/>
    <w:rsid w:val="4B1D057D"/>
    <w:rsid w:val="4B79A338"/>
    <w:rsid w:val="4B8D7224"/>
    <w:rsid w:val="4B9E5432"/>
    <w:rsid w:val="4C791660"/>
    <w:rsid w:val="4DAD2754"/>
    <w:rsid w:val="4E07E365"/>
    <w:rsid w:val="4EC82E58"/>
    <w:rsid w:val="4EF5EA90"/>
    <w:rsid w:val="4F7A65D4"/>
    <w:rsid w:val="4FA1DC0E"/>
    <w:rsid w:val="502799FA"/>
    <w:rsid w:val="50B43C78"/>
    <w:rsid w:val="50F595B1"/>
    <w:rsid w:val="51683501"/>
    <w:rsid w:val="51BA0143"/>
    <w:rsid w:val="51C2CF03"/>
    <w:rsid w:val="51E6E93B"/>
    <w:rsid w:val="51F244F4"/>
    <w:rsid w:val="5214A912"/>
    <w:rsid w:val="524A23FB"/>
    <w:rsid w:val="52EB79DA"/>
    <w:rsid w:val="5356873F"/>
    <w:rsid w:val="56270B01"/>
    <w:rsid w:val="57C8A3F3"/>
    <w:rsid w:val="57CB52FA"/>
    <w:rsid w:val="58E68C85"/>
    <w:rsid w:val="59787BC5"/>
    <w:rsid w:val="59923975"/>
    <w:rsid w:val="59FB6197"/>
    <w:rsid w:val="5A604912"/>
    <w:rsid w:val="5B1F4A8D"/>
    <w:rsid w:val="5B43E3A8"/>
    <w:rsid w:val="5B5B3C9A"/>
    <w:rsid w:val="5BFDBC5F"/>
    <w:rsid w:val="5D5BC5D5"/>
    <w:rsid w:val="5E8FAB1B"/>
    <w:rsid w:val="5F9C18E9"/>
    <w:rsid w:val="607AF4A1"/>
    <w:rsid w:val="60FF12C0"/>
    <w:rsid w:val="61BDB953"/>
    <w:rsid w:val="64DA7F84"/>
    <w:rsid w:val="64F8A079"/>
    <w:rsid w:val="659F85B5"/>
    <w:rsid w:val="65BB62E9"/>
    <w:rsid w:val="68F74436"/>
    <w:rsid w:val="692E23AE"/>
    <w:rsid w:val="69E38D9C"/>
    <w:rsid w:val="6D711A16"/>
    <w:rsid w:val="6E11C995"/>
    <w:rsid w:val="6E68013B"/>
    <w:rsid w:val="6F5CE023"/>
    <w:rsid w:val="7023B7BF"/>
    <w:rsid w:val="704476BC"/>
    <w:rsid w:val="707006E7"/>
    <w:rsid w:val="711054ED"/>
    <w:rsid w:val="713D5BFB"/>
    <w:rsid w:val="717CE2E7"/>
    <w:rsid w:val="72A64179"/>
    <w:rsid w:val="72D5CD44"/>
    <w:rsid w:val="73E020A0"/>
    <w:rsid w:val="7450FD7F"/>
    <w:rsid w:val="74C5D78A"/>
    <w:rsid w:val="75DC28B3"/>
    <w:rsid w:val="7691F59B"/>
    <w:rsid w:val="76FDCD5F"/>
    <w:rsid w:val="77783A66"/>
    <w:rsid w:val="77F33DFC"/>
    <w:rsid w:val="793BFB5A"/>
    <w:rsid w:val="7A7CF10A"/>
    <w:rsid w:val="7B89EBDE"/>
    <w:rsid w:val="7D246D72"/>
    <w:rsid w:val="7E17B772"/>
    <w:rsid w:val="7E5F027E"/>
    <w:rsid w:val="7F0A8174"/>
    <w:rsid w:val="7F79B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8583A"/>
  <w15:docId w15:val="{AE3FD35D-4961-4832-B333-EF9CFBF8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qFormat/>
    <w:rsid w:val="73E020A0"/>
    <w:rPr>
      <w:color w:val="0000FF"/>
      <w:u w:val="single"/>
    </w:rPr>
  </w:style>
  <w:style w:type="paragraph" w:styleId="NormalWeb">
    <w:name w:val="Normal (Web)"/>
    <w:uiPriority w:val="99"/>
    <w:semiHidden/>
    <w:unhideWhenUsed/>
    <w:qFormat/>
    <w:rsid w:val="73E020A0"/>
    <w:pPr>
      <w:spacing w:beforeAutospacing="1" w:afterAutospacing="1"/>
    </w:pPr>
    <w:rPr>
      <w:rFonts w:eastAsia="Times New Roman"/>
      <w:sz w:val="24"/>
      <w:szCs w:val="24"/>
      <w:lang w:eastAsia="pt-BR"/>
    </w:rPr>
  </w:style>
  <w:style w:type="paragraph" w:styleId="Cabealho">
    <w:name w:val="header"/>
    <w:uiPriority w:val="99"/>
    <w:semiHidden/>
    <w:unhideWhenUsed/>
    <w:qFormat/>
    <w:rsid w:val="73E020A0"/>
    <w:pPr>
      <w:tabs>
        <w:tab w:val="center" w:pos="4252"/>
        <w:tab w:val="right" w:pos="8504"/>
      </w:tabs>
    </w:pPr>
  </w:style>
  <w:style w:type="paragraph" w:styleId="Rodap">
    <w:name w:val="footer"/>
    <w:uiPriority w:val="99"/>
    <w:semiHidden/>
    <w:unhideWhenUsed/>
    <w:qFormat/>
    <w:rsid w:val="73E020A0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notaderodap">
    <w:name w:val="footnote text"/>
    <w:uiPriority w:val="99"/>
    <w:semiHidden/>
    <w:unhideWhenUsed/>
    <w:rsid w:val="73E020A0"/>
  </w:style>
  <w:style w:type="character" w:styleId="Refdenotaderodap">
    <w:name w:val="footnote reference"/>
    <w:uiPriority w:val="99"/>
    <w:semiHidden/>
    <w:unhideWhenUsed/>
    <w:rsid w:val="73E020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Ùrsula</dc:creator>
  <lastModifiedBy>Usuário Convidado</lastModifiedBy>
  <revision>5</revision>
  <dcterms:created xsi:type="dcterms:W3CDTF">2026-05-04T12:32:00.0000000Z</dcterms:created>
  <dcterms:modified xsi:type="dcterms:W3CDTF">2026-05-14T17:28:56.2975762Z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