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A150" w14:textId="77777777" w:rsidR="002E6622" w:rsidRDefault="002E6622" w:rsidP="006836C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67DAC" w14:textId="711D695C" w:rsidR="002E6622" w:rsidRPr="008077AC" w:rsidRDefault="002E6622" w:rsidP="006836C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>Grupo de Trabalho 2: Processo Internacional de direitos humanos e execução de sentenças internacionais</w:t>
      </w:r>
    </w:p>
    <w:p w14:paraId="54AF9A13" w14:textId="77777777" w:rsidR="002E6622" w:rsidRPr="008077AC" w:rsidRDefault="002E6622" w:rsidP="006836C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C0AE6" w14:textId="0738CED1" w:rsidR="002E6622" w:rsidRPr="008077AC" w:rsidRDefault="002E6622" w:rsidP="006836C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 xml:space="preserve">CASO </w:t>
      </w:r>
      <w:r w:rsidR="00BC1851" w:rsidRPr="008077AC">
        <w:rPr>
          <w:rFonts w:ascii="Times New Roman" w:eastAsia="Times New Roman" w:hAnsi="Times New Roman" w:cs="Times New Roman"/>
          <w:b/>
          <w:sz w:val="24"/>
          <w:szCs w:val="24"/>
        </w:rPr>
        <w:t xml:space="preserve">DOS </w:t>
      </w:r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 xml:space="preserve">EMPREGADOS DA FÁBRICA DE FOGOS DE SANTO ANTÔNIO DE JESUS: MAIS UM CAPÍTULO DO RECONHECIMENTO DA JUSTICIABILIDADE DOS DIREITOS SOCIAIS NA JURISPRUDÊNCIA </w:t>
      </w:r>
      <w:r w:rsidR="00BE35D1" w:rsidRPr="008077AC">
        <w:rPr>
          <w:rFonts w:ascii="Times New Roman" w:eastAsia="Times New Roman" w:hAnsi="Times New Roman" w:cs="Times New Roman"/>
          <w:b/>
          <w:sz w:val="24"/>
          <w:szCs w:val="24"/>
        </w:rPr>
        <w:t>DA CORTE INTERAMERICANA</w:t>
      </w:r>
      <w:r w:rsidR="0022259E" w:rsidRPr="008077AC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DEFDFC7" w14:textId="09A6E4E4" w:rsidR="0022259E" w:rsidRPr="008077AC" w:rsidRDefault="0022259E" w:rsidP="002225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Direitos </w:t>
      </w:r>
      <w:r w:rsidR="006907AE">
        <w:rPr>
          <w:rFonts w:ascii="Times New Roman" w:eastAsia="Times New Roman" w:hAnsi="Times New Roman" w:cs="Times New Roman"/>
          <w:sz w:val="24"/>
          <w:szCs w:val="24"/>
        </w:rPr>
        <w:t>sociais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, Corte Interamericana de Direitos Humanos, Caso Empregados da Fábrica de Fogos de Santo Antônio de Jesus.</w:t>
      </w:r>
    </w:p>
    <w:p w14:paraId="424F903C" w14:textId="77777777" w:rsidR="006836C0" w:rsidRPr="008077AC" w:rsidRDefault="006836C0" w:rsidP="006836C0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25479" w14:textId="0D66441B" w:rsidR="002E6622" w:rsidRPr="008077AC" w:rsidRDefault="002E6622" w:rsidP="006836C0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4200F" w14:textId="4947F901" w:rsidR="000B7C39" w:rsidRPr="008077AC" w:rsidRDefault="00AD1792" w:rsidP="0022259E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22259E" w:rsidRPr="008077AC">
        <w:rPr>
          <w:rFonts w:ascii="Times New Roman" w:eastAsia="Times New Roman" w:hAnsi="Times New Roman" w:cs="Times New Roman"/>
          <w:sz w:val="24"/>
          <w:szCs w:val="24"/>
        </w:rPr>
        <w:t xml:space="preserve"> Convenção Americana sobre Direitos Humanos </w:t>
      </w:r>
      <w:r w:rsidR="000B7C39" w:rsidRPr="008077AC">
        <w:rPr>
          <w:rFonts w:ascii="Times New Roman" w:eastAsia="Times New Roman" w:hAnsi="Times New Roman" w:cs="Times New Roman"/>
          <w:sz w:val="24"/>
          <w:szCs w:val="24"/>
        </w:rPr>
        <w:t xml:space="preserve">(CADH) </w:t>
      </w:r>
      <w:r w:rsidR="00BE35D1" w:rsidRPr="008077AC">
        <w:rPr>
          <w:rFonts w:ascii="Times New Roman" w:eastAsia="Times New Roman" w:hAnsi="Times New Roman" w:cs="Times New Roman"/>
          <w:sz w:val="24"/>
          <w:szCs w:val="24"/>
        </w:rPr>
        <w:t>conta com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5D1" w:rsidRPr="008077AC">
        <w:rPr>
          <w:rFonts w:ascii="Times New Roman" w:eastAsia="Times New Roman" w:hAnsi="Times New Roman" w:cs="Times New Roman"/>
          <w:sz w:val="24"/>
          <w:szCs w:val="24"/>
        </w:rPr>
        <w:t xml:space="preserve">amplo </w:t>
      </w:r>
      <w:r w:rsidR="000B7C39" w:rsidRPr="008077AC">
        <w:rPr>
          <w:rFonts w:ascii="Times New Roman" w:eastAsia="Times New Roman" w:hAnsi="Times New Roman" w:cs="Times New Roman"/>
          <w:sz w:val="24"/>
          <w:szCs w:val="24"/>
        </w:rPr>
        <w:t xml:space="preserve">catálogo de direitos civis e políticos, mas </w:t>
      </w:r>
      <w:r w:rsidR="00BE35D1" w:rsidRPr="008077AC">
        <w:rPr>
          <w:rFonts w:ascii="Times New Roman" w:eastAsia="Times New Roman" w:hAnsi="Times New Roman" w:cs="Times New Roman"/>
          <w:sz w:val="24"/>
          <w:szCs w:val="24"/>
        </w:rPr>
        <w:t>reserva</w:t>
      </w:r>
      <w:r w:rsidR="000B7C39" w:rsidRPr="008077AC">
        <w:rPr>
          <w:rFonts w:ascii="Times New Roman" w:eastAsia="Times New Roman" w:hAnsi="Times New Roman" w:cs="Times New Roman"/>
          <w:sz w:val="24"/>
          <w:szCs w:val="24"/>
        </w:rPr>
        <w:t xml:space="preserve"> um único dispositivo para os direitos econômicos, sociais e culturais: o artigo 26, que se limita a determinar um dever de progressividade aos Estados, na medida dos recursos disponíveis. Em que pese o avanço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promovido</w:t>
      </w:r>
      <w:r w:rsidR="000B7C39" w:rsidRPr="008077AC">
        <w:rPr>
          <w:rFonts w:ascii="Times New Roman" w:eastAsia="Times New Roman" w:hAnsi="Times New Roman" w:cs="Times New Roman"/>
          <w:sz w:val="24"/>
          <w:szCs w:val="24"/>
        </w:rPr>
        <w:t xml:space="preserve"> com a aprovação posterior do Protocolo de San Salvador, este somente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autoriza</w:t>
      </w:r>
      <w:r w:rsidR="000B7C39" w:rsidRPr="008077AC">
        <w:rPr>
          <w:rFonts w:ascii="Times New Roman" w:eastAsia="Times New Roman" w:hAnsi="Times New Roman" w:cs="Times New Roman"/>
          <w:sz w:val="24"/>
          <w:szCs w:val="24"/>
        </w:rPr>
        <w:t xml:space="preserve"> o acesso à jurisdição </w:t>
      </w:r>
      <w:r w:rsidR="001D1FBA" w:rsidRPr="008077AC">
        <w:rPr>
          <w:rFonts w:ascii="Times New Roman" w:eastAsia="Times New Roman" w:hAnsi="Times New Roman" w:cs="Times New Roman"/>
          <w:sz w:val="24"/>
          <w:szCs w:val="24"/>
        </w:rPr>
        <w:t xml:space="preserve">contenciosa </w:t>
      </w:r>
      <w:r w:rsidR="000B7C39" w:rsidRPr="008077AC">
        <w:rPr>
          <w:rFonts w:ascii="Times New Roman" w:eastAsia="Times New Roman" w:hAnsi="Times New Roman" w:cs="Times New Roman"/>
          <w:sz w:val="24"/>
          <w:szCs w:val="24"/>
        </w:rPr>
        <w:t>da Corte Interamericana de Direitos Humanos (Corte IDH) na hipótese de violação aos direitos sindicais (exceto o direito de greve) e à educação.</w:t>
      </w:r>
    </w:p>
    <w:p w14:paraId="3C942D80" w14:textId="0405908E" w:rsidR="000B7C39" w:rsidRPr="008077AC" w:rsidRDefault="000B7C39" w:rsidP="0022259E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>A despeito de</w:t>
      </w:r>
      <w:r w:rsidR="00AD1792" w:rsidRPr="008077AC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cenário normativo desfavorável, a Corte IDH tem </w:t>
      </w:r>
      <w:r w:rsidR="00AD1792" w:rsidRPr="008077AC">
        <w:rPr>
          <w:rFonts w:ascii="Times New Roman" w:eastAsia="Times New Roman" w:hAnsi="Times New Roman" w:cs="Times New Roman"/>
          <w:sz w:val="24"/>
          <w:szCs w:val="24"/>
        </w:rPr>
        <w:t>atuado estrategicamente para reconhecer a justiciabilidade direta e autônoma dos direitos sociais</w:t>
      </w:r>
      <w:r w:rsidR="00BE35D1" w:rsidRPr="008077AC">
        <w:rPr>
          <w:rFonts w:ascii="Times New Roman" w:eastAsia="Times New Roman" w:hAnsi="Times New Roman" w:cs="Times New Roman"/>
          <w:sz w:val="24"/>
          <w:szCs w:val="24"/>
        </w:rPr>
        <w:t>. A s</w:t>
      </w:r>
      <w:r w:rsidR="00AD1792" w:rsidRPr="008077AC">
        <w:rPr>
          <w:rFonts w:ascii="Times New Roman" w:eastAsia="Times New Roman" w:hAnsi="Times New Roman" w:cs="Times New Roman"/>
          <w:sz w:val="24"/>
          <w:szCs w:val="24"/>
        </w:rPr>
        <w:t>entença proferida no Caso Empregados da Fábrica de Fogos de Santo Antônio de Jesus</w:t>
      </w:r>
      <w:r w:rsidR="00664A40">
        <w:rPr>
          <w:rFonts w:ascii="Times New Roman" w:eastAsia="Times New Roman" w:hAnsi="Times New Roman" w:cs="Times New Roman"/>
          <w:sz w:val="24"/>
          <w:szCs w:val="24"/>
        </w:rPr>
        <w:t xml:space="preserve"> e seus familiares</w:t>
      </w:r>
      <w:r w:rsidR="00AD1792" w:rsidRPr="008077AC">
        <w:rPr>
          <w:rFonts w:ascii="Times New Roman" w:eastAsia="Times New Roman" w:hAnsi="Times New Roman" w:cs="Times New Roman"/>
          <w:sz w:val="24"/>
          <w:szCs w:val="24"/>
        </w:rPr>
        <w:t xml:space="preserve"> v. Brasil (2020) </w:t>
      </w:r>
      <w:r w:rsidR="00BE35D1" w:rsidRPr="008077AC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AD1792" w:rsidRPr="008077AC">
        <w:rPr>
          <w:rFonts w:ascii="Times New Roman" w:eastAsia="Times New Roman" w:hAnsi="Times New Roman" w:cs="Times New Roman"/>
          <w:sz w:val="24"/>
          <w:szCs w:val="24"/>
        </w:rPr>
        <w:t>o exemplo mais recente dessa atuação</w:t>
      </w:r>
      <w:r w:rsidR="00BE35D1" w:rsidRPr="008077AC">
        <w:rPr>
          <w:rFonts w:ascii="Times New Roman" w:eastAsia="Times New Roman" w:hAnsi="Times New Roman" w:cs="Times New Roman"/>
          <w:sz w:val="24"/>
          <w:szCs w:val="24"/>
        </w:rPr>
        <w:t xml:space="preserve">, envolvendo, entre </w:t>
      </w:r>
      <w:r w:rsidR="00CA514D" w:rsidRPr="008077AC">
        <w:rPr>
          <w:rFonts w:ascii="Times New Roman" w:eastAsia="Times New Roman" w:hAnsi="Times New Roman" w:cs="Times New Roman"/>
          <w:sz w:val="24"/>
          <w:szCs w:val="24"/>
        </w:rPr>
        <w:t>outros pontos,</w:t>
      </w:r>
      <w:r w:rsidR="00BE35D1" w:rsidRPr="008077AC">
        <w:rPr>
          <w:rFonts w:ascii="Times New Roman" w:eastAsia="Times New Roman" w:hAnsi="Times New Roman" w:cs="Times New Roman"/>
          <w:sz w:val="24"/>
          <w:szCs w:val="24"/>
        </w:rPr>
        <w:t xml:space="preserve"> violaç</w:t>
      </w:r>
      <w:r w:rsidR="00A9767D" w:rsidRPr="008077AC">
        <w:rPr>
          <w:rFonts w:ascii="Times New Roman" w:eastAsia="Times New Roman" w:hAnsi="Times New Roman" w:cs="Times New Roman"/>
          <w:sz w:val="24"/>
          <w:szCs w:val="24"/>
        </w:rPr>
        <w:t>ões</w:t>
      </w:r>
      <w:r w:rsidR="00BE35D1" w:rsidRPr="008077AC">
        <w:rPr>
          <w:rFonts w:ascii="Times New Roman" w:eastAsia="Times New Roman" w:hAnsi="Times New Roman" w:cs="Times New Roman"/>
          <w:sz w:val="24"/>
          <w:szCs w:val="24"/>
        </w:rPr>
        <w:t xml:space="preserve"> ao direito a condições de trabalho equitativas e satisfatórias.</w:t>
      </w:r>
    </w:p>
    <w:p w14:paraId="33F6172D" w14:textId="77777777" w:rsidR="0081691D" w:rsidRPr="008077AC" w:rsidRDefault="00BE35D1" w:rsidP="0022259E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>Nesse</w:t>
      </w:r>
      <w:r w:rsidR="00AD1792" w:rsidRPr="008077AC">
        <w:rPr>
          <w:rFonts w:ascii="Times New Roman" w:eastAsia="Times New Roman" w:hAnsi="Times New Roman" w:cs="Times New Roman"/>
          <w:sz w:val="24"/>
          <w:szCs w:val="24"/>
        </w:rPr>
        <w:t xml:space="preserve"> contexto, a problemática enfrentada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pela presente pesquisa envolve</w:t>
      </w:r>
      <w:r w:rsidR="00AD1792" w:rsidRPr="008077AC">
        <w:rPr>
          <w:rFonts w:ascii="Times New Roman" w:eastAsia="Times New Roman" w:hAnsi="Times New Roman" w:cs="Times New Roman"/>
          <w:sz w:val="24"/>
          <w:szCs w:val="24"/>
        </w:rPr>
        <w:t xml:space="preserve"> a seguinte questão: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quais os fundamentos utilizados pela Corte IDH no </w:t>
      </w:r>
      <w:r w:rsidR="0081691D" w:rsidRPr="008077AC">
        <w:rPr>
          <w:rFonts w:ascii="Times New Roman" w:eastAsia="Times New Roman" w:hAnsi="Times New Roman" w:cs="Times New Roman"/>
          <w:sz w:val="24"/>
          <w:szCs w:val="24"/>
        </w:rPr>
        <w:t>julgamento referido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acima para promover a proteção do direi</w:t>
      </w:r>
      <w:r w:rsidR="0081691D" w:rsidRPr="008077AC">
        <w:rPr>
          <w:rFonts w:ascii="Times New Roman" w:eastAsia="Times New Roman" w:hAnsi="Times New Roman" w:cs="Times New Roman"/>
          <w:sz w:val="24"/>
          <w:szCs w:val="24"/>
        </w:rPr>
        <w:t xml:space="preserve">to social ao trabalho? </w:t>
      </w:r>
    </w:p>
    <w:p w14:paraId="0B432C95" w14:textId="3C3AC542" w:rsidR="00AD1792" w:rsidRPr="008077AC" w:rsidRDefault="0081691D" w:rsidP="0022259E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>Para responder a tal pergunta, busca-se, pelo método dedutivo e mediante revisão bibliográfica e jurisprudencial, analisar</w:t>
      </w:r>
      <w:r w:rsidR="007414A0" w:rsidRPr="008077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51" w:rsidRPr="008077AC">
        <w:rPr>
          <w:rFonts w:ascii="Times New Roman" w:eastAsia="Times New Roman" w:hAnsi="Times New Roman" w:cs="Times New Roman"/>
          <w:sz w:val="24"/>
          <w:szCs w:val="24"/>
        </w:rPr>
        <w:t>no precedente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em questão</w:t>
      </w:r>
      <w:r w:rsidR="007414A0" w:rsidRPr="008077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51" w:rsidRPr="008077AC">
        <w:rPr>
          <w:rFonts w:ascii="Times New Roman" w:eastAsia="Times New Roman" w:hAnsi="Times New Roman" w:cs="Times New Roman"/>
          <w:sz w:val="24"/>
          <w:szCs w:val="24"/>
        </w:rPr>
        <w:t xml:space="preserve">as respectivas motivações e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parâmetro definidos pela Corte regional. São objetivos específicos: compreender os elementos distintivos dos direitos sociais</w:t>
      </w:r>
      <w:r w:rsidR="00BC1851" w:rsidRPr="008077AC">
        <w:rPr>
          <w:rFonts w:ascii="Times New Roman" w:eastAsia="Times New Roman" w:hAnsi="Times New Roman" w:cs="Times New Roman"/>
          <w:sz w:val="24"/>
          <w:szCs w:val="24"/>
        </w:rPr>
        <w:t xml:space="preserve"> e sua exigibilidade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, examinar brevemente o histórico de proteção desses direitos pela Corte IDH e verificar como ocorreu sua tutela especificamente no </w:t>
      </w:r>
      <w:r w:rsidR="00140E35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Empregados da Fábrica de Fogos de Santo Antônio de Jesus v. Brasil (2020).</w:t>
      </w:r>
    </w:p>
    <w:p w14:paraId="7C73A4F5" w14:textId="478B1283" w:rsidR="0081691D" w:rsidRPr="008077AC" w:rsidRDefault="007414A0" w:rsidP="0022259E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lastRenderedPageBreak/>
        <w:t>Como resultado da pesquisa, verifica-se que a</w:t>
      </w:r>
      <w:r w:rsidR="0031152C" w:rsidRPr="008077AC">
        <w:rPr>
          <w:rFonts w:ascii="Times New Roman" w:eastAsia="Times New Roman" w:hAnsi="Times New Roman" w:cs="Times New Roman"/>
          <w:sz w:val="24"/>
          <w:szCs w:val="24"/>
        </w:rPr>
        <w:t xml:space="preserve"> negação da exigibilidade dos direitos sociais – ou mesmo a compreensão de que se tratam de direitos incompletos ou meras promessas – é incompatível com as características de universalidade, interdependência e indivisibilidade dos direitos humanos, sendo certo que muitos direitos sociais, como a saúde, constituem pré-requisito para o exercício dos direitos civis e políticos (BAZÁN, 2015).</w:t>
      </w:r>
    </w:p>
    <w:p w14:paraId="5C22F057" w14:textId="311A4EA7" w:rsidR="0031152C" w:rsidRPr="000932E9" w:rsidRDefault="0031152C" w:rsidP="0022259E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932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Nogueira Alcalá (2009) </w:t>
      </w:r>
      <w:proofErr w:type="spellStart"/>
      <w:r w:rsidR="00BC1851" w:rsidRPr="000932E9">
        <w:rPr>
          <w:rFonts w:ascii="Times New Roman" w:eastAsia="Times New Roman" w:hAnsi="Times New Roman" w:cs="Times New Roman"/>
          <w:sz w:val="24"/>
          <w:szCs w:val="24"/>
          <w:lang w:val="es-AR"/>
        </w:rPr>
        <w:t>assinala</w:t>
      </w:r>
      <w:proofErr w:type="spellEnd"/>
      <w:r w:rsidRPr="000932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que</w:t>
      </w:r>
    </w:p>
    <w:p w14:paraId="5A87BC3A" w14:textId="77777777" w:rsidR="0031152C" w:rsidRPr="000932E9" w:rsidRDefault="0031152C" w:rsidP="0031152C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lang w:val="es-AR"/>
        </w:rPr>
      </w:pPr>
    </w:p>
    <w:p w14:paraId="27B408A9" w14:textId="244CDDBB" w:rsidR="0031152C" w:rsidRPr="000932E9" w:rsidRDefault="0031152C" w:rsidP="0031152C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lang w:val="es-AR"/>
        </w:rPr>
      </w:pPr>
      <w:r w:rsidRPr="000932E9">
        <w:rPr>
          <w:rFonts w:ascii="Times New Roman" w:eastAsia="Times New Roman" w:hAnsi="Times New Roman" w:cs="Times New Roman"/>
          <w:lang w:val="es-AR"/>
        </w:rPr>
        <w:t>todos los derechos son complejos y tienen dimensiones individuales y colectivas, negativas y positivas, de abstención y de prestación. No hay argumento válido para establecer una diferencia de naturalezas en esta materia entre derechos individuales y derechos sociales. Tanto los derechos individuales y sociales implican bienes públicos y costos públicos, sin perjuicio de eventuales tasas, aranceles que deban cancelar quienes son beneficiados por dichas prestaciones (p. 155).</w:t>
      </w:r>
    </w:p>
    <w:p w14:paraId="33E30E8C" w14:textId="77777777" w:rsidR="0031152C" w:rsidRPr="000932E9" w:rsidRDefault="0031152C" w:rsidP="0031152C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lang w:val="es-AR"/>
        </w:rPr>
      </w:pPr>
    </w:p>
    <w:p w14:paraId="100B75D7" w14:textId="0D4392CD" w:rsidR="000B7C39" w:rsidRPr="008077AC" w:rsidRDefault="00BC1851" w:rsidP="0022259E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Apesar disso, em virtude da previsão contida no artigo 19.6 do Protocolo de San Salvador e sob forte inspiração do sistema europeu de proteção dos direitos humanos, a Corte IDH optou, durante muito tempo, por não promover a tutela autônoma dos direitos sociais, mas </w:t>
      </w:r>
      <w:r w:rsidR="00140E35">
        <w:rPr>
          <w:rFonts w:ascii="Times New Roman" w:eastAsia="Times New Roman" w:hAnsi="Times New Roman" w:cs="Times New Roman"/>
          <w:sz w:val="24"/>
          <w:szCs w:val="24"/>
        </w:rPr>
        <w:t xml:space="preserve">sim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desenvolver uma espécie de “leitura social” dos direitos civis (MAC-GREGOR, 2017).</w:t>
      </w:r>
    </w:p>
    <w:p w14:paraId="1E30EF4D" w14:textId="6C37CAAD" w:rsidR="00BC1851" w:rsidRPr="008077AC" w:rsidRDefault="00BC1851" w:rsidP="0022259E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>Para tanto, a Corte utilizou-se de abordagem protetiva indireta partindo dos direitos à vida</w:t>
      </w:r>
      <w:r w:rsidRPr="008077AC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, à integridade pessoal</w:t>
      </w:r>
      <w:r w:rsidRPr="008077AC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, ao acesso à justiça e garantias judicias</w:t>
      </w:r>
      <w:r w:rsidRPr="008077AC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, entre outros. Foi somente com os casos Lagos del Campo v. Peru (2017) e Poblete Vil</w:t>
      </w:r>
      <w:r w:rsidR="003D331B" w:rsidRPr="008077A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hes e outros v. Chile (2018) que </w:t>
      </w:r>
      <w:r w:rsidR="00140E35">
        <w:rPr>
          <w:rFonts w:ascii="Times New Roman" w:eastAsia="Times New Roman" w:hAnsi="Times New Roman" w:cs="Times New Roman"/>
          <w:sz w:val="24"/>
          <w:szCs w:val="24"/>
        </w:rPr>
        <w:t>ela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admitiu, </w:t>
      </w:r>
      <w:r w:rsidR="003B5598" w:rsidRPr="008077AC">
        <w:rPr>
          <w:rFonts w:ascii="Times New Roman" w:eastAsia="Times New Roman" w:hAnsi="Times New Roman" w:cs="Times New Roman"/>
          <w:sz w:val="24"/>
          <w:szCs w:val="24"/>
        </w:rPr>
        <w:t>de forma inovadora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19CC" w:rsidRPr="008077AC">
        <w:rPr>
          <w:rFonts w:ascii="Times New Roman" w:eastAsia="Times New Roman" w:hAnsi="Times New Roman" w:cs="Times New Roman"/>
          <w:sz w:val="24"/>
          <w:szCs w:val="24"/>
        </w:rPr>
        <w:t xml:space="preserve">a justiciabilidade </w:t>
      </w:r>
      <w:r w:rsidR="00723756" w:rsidRPr="008077AC">
        <w:rPr>
          <w:rFonts w:ascii="Times New Roman" w:eastAsia="Times New Roman" w:hAnsi="Times New Roman" w:cs="Times New Roman"/>
          <w:sz w:val="24"/>
          <w:szCs w:val="24"/>
        </w:rPr>
        <w:t>autônoma</w:t>
      </w:r>
      <w:r w:rsidR="002E19CC" w:rsidRPr="008077AC">
        <w:rPr>
          <w:rFonts w:ascii="Times New Roman" w:eastAsia="Times New Roman" w:hAnsi="Times New Roman" w:cs="Times New Roman"/>
          <w:sz w:val="24"/>
          <w:szCs w:val="24"/>
        </w:rPr>
        <w:t xml:space="preserve"> dos</w:t>
      </w:r>
      <w:r w:rsidR="003D331B" w:rsidRPr="008077AC">
        <w:rPr>
          <w:rFonts w:ascii="Times New Roman" w:eastAsia="Times New Roman" w:hAnsi="Times New Roman" w:cs="Times New Roman"/>
          <w:sz w:val="24"/>
          <w:szCs w:val="24"/>
        </w:rPr>
        <w:t xml:space="preserve"> direitos sociais, </w:t>
      </w:r>
      <w:r w:rsidR="007414A0" w:rsidRPr="008077AC">
        <w:rPr>
          <w:rFonts w:ascii="Times New Roman" w:eastAsia="Times New Roman" w:hAnsi="Times New Roman" w:cs="Times New Roman"/>
          <w:sz w:val="24"/>
          <w:szCs w:val="24"/>
        </w:rPr>
        <w:t>com base em</w:t>
      </w:r>
      <w:r w:rsidR="003D331B" w:rsidRPr="008077AC">
        <w:rPr>
          <w:rFonts w:ascii="Times New Roman" w:eastAsia="Times New Roman" w:hAnsi="Times New Roman" w:cs="Times New Roman"/>
          <w:sz w:val="24"/>
          <w:szCs w:val="24"/>
        </w:rPr>
        <w:t xml:space="preserve"> interpretação expansiva do artigo 26 da CADH.</w:t>
      </w:r>
    </w:p>
    <w:p w14:paraId="53BBE81E" w14:textId="4CB6974A" w:rsidR="002E19CC" w:rsidRPr="008077AC" w:rsidRDefault="00DA5D6C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No precedente Lagos </w:t>
      </w:r>
      <w:r w:rsidR="00CA514D" w:rsidRPr="008077AC">
        <w:rPr>
          <w:rFonts w:ascii="Times New Roman" w:eastAsia="Times New Roman" w:hAnsi="Times New Roman" w:cs="Times New Roman"/>
          <w:sz w:val="24"/>
          <w:szCs w:val="24"/>
        </w:rPr>
        <w:t>del Campo v. Peru (2017),</w:t>
      </w:r>
      <w:r w:rsidR="002C3DB6" w:rsidRPr="0080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598" w:rsidRPr="008077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C3DB6" w:rsidRPr="008077AC">
        <w:rPr>
          <w:rFonts w:ascii="Times New Roman" w:eastAsia="Times New Roman" w:hAnsi="Times New Roman" w:cs="Times New Roman"/>
          <w:sz w:val="24"/>
          <w:szCs w:val="24"/>
        </w:rPr>
        <w:t>Corte</w:t>
      </w:r>
      <w:r w:rsidR="002E19CC" w:rsidRPr="008077AC">
        <w:rPr>
          <w:rFonts w:ascii="Times New Roman" w:eastAsia="Times New Roman" w:hAnsi="Times New Roman" w:cs="Times New Roman"/>
          <w:sz w:val="24"/>
          <w:szCs w:val="24"/>
        </w:rPr>
        <w:t xml:space="preserve"> IDH reconheceu</w:t>
      </w:r>
      <w:r w:rsidR="00714827" w:rsidRPr="008077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9CC" w:rsidRPr="0080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598" w:rsidRPr="008077AC">
        <w:rPr>
          <w:rFonts w:ascii="Times New Roman" w:eastAsia="Times New Roman" w:hAnsi="Times New Roman" w:cs="Times New Roman"/>
          <w:sz w:val="24"/>
          <w:szCs w:val="24"/>
        </w:rPr>
        <w:t>pela primeira vez</w:t>
      </w:r>
      <w:r w:rsidR="00714827" w:rsidRPr="008077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598" w:rsidRPr="008077AC">
        <w:rPr>
          <w:rFonts w:ascii="Times New Roman" w:eastAsia="Times New Roman" w:hAnsi="Times New Roman" w:cs="Times New Roman"/>
          <w:sz w:val="24"/>
          <w:szCs w:val="24"/>
        </w:rPr>
        <w:t xml:space="preserve"> uma violação direta ao artigo 26</w:t>
      </w:r>
      <w:r w:rsidR="00D213A1" w:rsidRPr="00807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E35">
        <w:rPr>
          <w:rFonts w:ascii="Times New Roman" w:eastAsia="Times New Roman" w:hAnsi="Times New Roman" w:cs="Times New Roman"/>
          <w:sz w:val="24"/>
          <w:szCs w:val="24"/>
        </w:rPr>
        <w:t>salientando</w:t>
      </w:r>
      <w:r w:rsidR="003B5598" w:rsidRPr="008077AC">
        <w:rPr>
          <w:rFonts w:ascii="Times New Roman" w:eastAsia="Times New Roman" w:hAnsi="Times New Roman" w:cs="Times New Roman"/>
          <w:sz w:val="24"/>
          <w:szCs w:val="24"/>
        </w:rPr>
        <w:t xml:space="preserve"> que o conteúdo deste deve ser integrado com outras normas do </w:t>
      </w:r>
      <w:r w:rsidR="00140E35">
        <w:rPr>
          <w:rFonts w:ascii="Times New Roman" w:eastAsia="Times New Roman" w:hAnsi="Times New Roman" w:cs="Times New Roman"/>
          <w:sz w:val="24"/>
          <w:szCs w:val="24"/>
        </w:rPr>
        <w:t>Sistema Interamericano de Direitos Humanos (SIDH)</w:t>
      </w:r>
      <w:r w:rsidR="003B5598" w:rsidRPr="008077AC">
        <w:rPr>
          <w:rFonts w:ascii="Times New Roman" w:eastAsia="Times New Roman" w:hAnsi="Times New Roman" w:cs="Times New Roman"/>
          <w:sz w:val="24"/>
          <w:szCs w:val="24"/>
        </w:rPr>
        <w:t xml:space="preserve"> e do ordenamento jurídico interno dos Estados e alcança</w:t>
      </w:r>
      <w:r w:rsidR="000A03AC" w:rsidRPr="008077AC">
        <w:rPr>
          <w:rFonts w:ascii="Times New Roman" w:eastAsia="Times New Roman" w:hAnsi="Times New Roman" w:cs="Times New Roman"/>
          <w:sz w:val="24"/>
          <w:szCs w:val="24"/>
        </w:rPr>
        <w:t>, por conseguinte,</w:t>
      </w:r>
      <w:r w:rsidR="003B5598" w:rsidRPr="008077AC">
        <w:rPr>
          <w:rFonts w:ascii="Times New Roman" w:eastAsia="Times New Roman" w:hAnsi="Times New Roman" w:cs="Times New Roman"/>
          <w:sz w:val="24"/>
          <w:szCs w:val="24"/>
        </w:rPr>
        <w:t xml:space="preserve"> o direito à estabilidade </w:t>
      </w:r>
      <w:r w:rsidR="000A03AC" w:rsidRPr="008077AC">
        <w:rPr>
          <w:rFonts w:ascii="Times New Roman" w:eastAsia="Times New Roman" w:hAnsi="Times New Roman" w:cs="Times New Roman"/>
          <w:sz w:val="24"/>
          <w:szCs w:val="24"/>
        </w:rPr>
        <w:lastRenderedPageBreak/>
        <w:t>laboral</w:t>
      </w:r>
      <w:r w:rsidR="003B5598" w:rsidRPr="008077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52CB4D" w14:textId="1BC43B20" w:rsidR="000A03AC" w:rsidRPr="008077AC" w:rsidRDefault="000A03AC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No caso Pobletes Vilches e outros v. Chile (2018), o tribunal, ao analisar demanda envolvendo o direito à saúde, reiterou sua posição sobre a justiciabilidade própria do artigo 26, </w:t>
      </w:r>
      <w:r w:rsidR="00723756" w:rsidRPr="008077AC">
        <w:rPr>
          <w:rFonts w:ascii="Times New Roman" w:eastAsia="Times New Roman" w:hAnsi="Times New Roman" w:cs="Times New Roman"/>
          <w:sz w:val="24"/>
          <w:szCs w:val="24"/>
        </w:rPr>
        <w:t>esclarecendo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que o dever de progressividade impõe aos Estados a adoção de medidas: (1) progressivas, </w:t>
      </w:r>
      <w:r w:rsidR="00714827" w:rsidRPr="008077AC">
        <w:rPr>
          <w:rFonts w:ascii="Times New Roman" w:eastAsia="Times New Roman" w:hAnsi="Times New Roman" w:cs="Times New Roman"/>
          <w:sz w:val="24"/>
          <w:szCs w:val="24"/>
        </w:rPr>
        <w:t xml:space="preserve">no sentido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de avançar da forma mais célere e eficaz possível na efetividade dos direitos econômicos, sociais, culturais e ambientais, o que envolve a proibição de regressividade; e (2) imediatas, por meio do acesso indiscriminado às prestações reconhecidas para cada direito, com ações adequadas, deliberadas e concretas</w:t>
      </w:r>
      <w:r w:rsidR="00714827" w:rsidRPr="008077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EAAA19" w14:textId="5A56544E" w:rsidR="003B5598" w:rsidRPr="008077AC" w:rsidRDefault="000A03AC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>Aldao e Clérico (2019) consideram paradigmático o progresso jurisprudencial operado pela Corte Interamericana, ressaltando a conformidade da interpretação produzida sobre o conteúdo autônomo do artigo 26 da CADH com o preâmbulo da Convenção e sua finalidade (argumento teleológico), os avanços gradativos nos antecedentes judiciais (argumento jurisprudencial) e a integração da CADH com outros instrumentos interamericanos e internacionais (argumento sistemático).</w:t>
      </w:r>
    </w:p>
    <w:p w14:paraId="3CED26FA" w14:textId="286E0D05" w:rsidR="00723756" w:rsidRPr="008077AC" w:rsidRDefault="008077AC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>Anos depois,</w:t>
      </w:r>
      <w:r w:rsidR="00D07E86" w:rsidRPr="008077AC">
        <w:rPr>
          <w:rFonts w:ascii="Times New Roman" w:eastAsia="Times New Roman" w:hAnsi="Times New Roman" w:cs="Times New Roman"/>
          <w:sz w:val="24"/>
          <w:szCs w:val="24"/>
        </w:rPr>
        <w:t xml:space="preserve"> a sentença do </w:t>
      </w:r>
      <w:r w:rsidR="00B77F9F" w:rsidRPr="008077AC">
        <w:rPr>
          <w:rFonts w:ascii="Times New Roman" w:eastAsia="Times New Roman" w:hAnsi="Times New Roman" w:cs="Times New Roman"/>
          <w:sz w:val="24"/>
          <w:szCs w:val="24"/>
        </w:rPr>
        <w:t>c</w:t>
      </w:r>
      <w:r w:rsidR="00D07E86" w:rsidRPr="008077AC">
        <w:rPr>
          <w:rFonts w:ascii="Times New Roman" w:eastAsia="Times New Roman" w:hAnsi="Times New Roman" w:cs="Times New Roman"/>
          <w:sz w:val="24"/>
          <w:szCs w:val="24"/>
        </w:rPr>
        <w:t>aso Empregados da Fábrica de Fogos de Santo Antônio de Jesus</w:t>
      </w:r>
      <w:r w:rsidR="00953CC1" w:rsidRPr="008077AC">
        <w:rPr>
          <w:rFonts w:ascii="Times New Roman" w:eastAsia="Times New Roman" w:hAnsi="Times New Roman" w:cs="Times New Roman"/>
          <w:sz w:val="24"/>
          <w:szCs w:val="24"/>
        </w:rPr>
        <w:t xml:space="preserve"> v. Brasil</w:t>
      </w:r>
      <w:r w:rsidR="00D07E86" w:rsidRPr="008077AC">
        <w:rPr>
          <w:rFonts w:ascii="Times New Roman" w:eastAsia="Times New Roman" w:hAnsi="Times New Roman" w:cs="Times New Roman"/>
          <w:sz w:val="24"/>
          <w:szCs w:val="24"/>
        </w:rPr>
        <w:t xml:space="preserve"> (2020) veio a constituir mais um capítulo </w:t>
      </w:r>
      <w:r w:rsidR="00C1688E" w:rsidRPr="008077AC">
        <w:rPr>
          <w:rFonts w:ascii="Times New Roman" w:eastAsia="Times New Roman" w:hAnsi="Times New Roman" w:cs="Times New Roman"/>
          <w:sz w:val="24"/>
          <w:szCs w:val="24"/>
        </w:rPr>
        <w:t>para o</w:t>
      </w:r>
      <w:r w:rsidR="00D07E86" w:rsidRPr="008077AC">
        <w:rPr>
          <w:rFonts w:ascii="Times New Roman" w:eastAsia="Times New Roman" w:hAnsi="Times New Roman" w:cs="Times New Roman"/>
          <w:sz w:val="24"/>
          <w:szCs w:val="24"/>
        </w:rPr>
        <w:t xml:space="preserve"> reconhecimento da justiciabilidade dos direitos sociais na jurisprudência da Corte IDH</w:t>
      </w:r>
      <w:r w:rsidR="00953CC1" w:rsidRPr="008077AC">
        <w:rPr>
          <w:rFonts w:ascii="Times New Roman" w:eastAsia="Times New Roman" w:hAnsi="Times New Roman" w:cs="Times New Roman"/>
          <w:sz w:val="24"/>
          <w:szCs w:val="24"/>
        </w:rPr>
        <w:t xml:space="preserve">, sendo a primeira condenação contra o Estado Brasileiro </w:t>
      </w:r>
      <w:r w:rsidR="0022420E" w:rsidRPr="008077AC">
        <w:rPr>
          <w:rFonts w:ascii="Times New Roman" w:eastAsia="Times New Roman" w:hAnsi="Times New Roman" w:cs="Times New Roman"/>
          <w:sz w:val="24"/>
          <w:szCs w:val="24"/>
        </w:rPr>
        <w:t>nesses termos.</w:t>
      </w:r>
    </w:p>
    <w:p w14:paraId="123B62F1" w14:textId="04F87788" w:rsidR="00623E6A" w:rsidRPr="008077AC" w:rsidRDefault="00B77F9F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Com efeito, o processo envolveu a explosão de fábrica de fogos de artifício, ocorrida na cidade de Santo Antônio de Jesus em 11 de dezembro de 1998, </w:t>
      </w:r>
      <w:r w:rsidR="00140E35">
        <w:rPr>
          <w:rFonts w:ascii="Times New Roman" w:eastAsia="Times New Roman" w:hAnsi="Times New Roman" w:cs="Times New Roman"/>
          <w:sz w:val="24"/>
          <w:szCs w:val="24"/>
        </w:rPr>
        <w:t>ocasião em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que sessenta e quatro </w:t>
      </w:r>
      <w:r w:rsidR="00953CC1" w:rsidRPr="008077AC">
        <w:rPr>
          <w:rFonts w:ascii="Times New Roman" w:eastAsia="Times New Roman" w:hAnsi="Times New Roman" w:cs="Times New Roman"/>
          <w:sz w:val="24"/>
          <w:szCs w:val="24"/>
        </w:rPr>
        <w:t>trabalhadores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morreram e seis sobreviveram</w:t>
      </w:r>
      <w:r w:rsidR="00140E35">
        <w:rPr>
          <w:rFonts w:ascii="Times New Roman" w:eastAsia="Times New Roman" w:hAnsi="Times New Roman" w:cs="Times New Roman"/>
          <w:sz w:val="24"/>
          <w:szCs w:val="24"/>
        </w:rPr>
        <w:t xml:space="preserve"> com ferimentos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, inclusive crianças.</w:t>
      </w:r>
      <w:r w:rsidR="00953CC1" w:rsidRPr="0080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E6A" w:rsidRPr="008077AC">
        <w:rPr>
          <w:rFonts w:ascii="Times New Roman" w:eastAsia="Times New Roman" w:hAnsi="Times New Roman" w:cs="Times New Roman"/>
          <w:sz w:val="24"/>
          <w:szCs w:val="24"/>
        </w:rPr>
        <w:t xml:space="preserve">Entre os direitos violados, </w:t>
      </w:r>
      <w:r w:rsidR="00140E35">
        <w:rPr>
          <w:rFonts w:ascii="Times New Roman" w:eastAsia="Times New Roman" w:hAnsi="Times New Roman" w:cs="Times New Roman"/>
          <w:sz w:val="24"/>
          <w:szCs w:val="24"/>
        </w:rPr>
        <w:t>sobressai</w:t>
      </w:r>
      <w:r w:rsidR="00623E6A" w:rsidRPr="008077AC">
        <w:rPr>
          <w:rFonts w:ascii="Times New Roman" w:eastAsia="Times New Roman" w:hAnsi="Times New Roman" w:cs="Times New Roman"/>
          <w:sz w:val="24"/>
          <w:szCs w:val="24"/>
        </w:rPr>
        <w:t xml:space="preserve"> o direito a condições de trabalho equitativas e satisfatórias, uma vez que as vítimas desempenhavam suas atividades em condições de precariedade e insalubridade e sem os padrões mínimos de segurança que permitissem a prevenção de acidentes de trabalho.</w:t>
      </w:r>
    </w:p>
    <w:p w14:paraId="06A28B8A" w14:textId="7AF03B4F" w:rsidR="00770503" w:rsidRPr="008077AC" w:rsidRDefault="00EF58E0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>Em sua defesa, o</w:t>
      </w:r>
      <w:r w:rsidR="00770503" w:rsidRPr="008077AC">
        <w:rPr>
          <w:rFonts w:ascii="Times New Roman" w:eastAsia="Times New Roman" w:hAnsi="Times New Roman" w:cs="Times New Roman"/>
          <w:sz w:val="24"/>
          <w:szCs w:val="24"/>
        </w:rPr>
        <w:t xml:space="preserve"> Brasil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sustentou, entre outras teses,</w:t>
      </w:r>
      <w:r w:rsidR="00770503" w:rsidRPr="008077AC">
        <w:rPr>
          <w:rFonts w:ascii="Times New Roman" w:eastAsia="Times New Roman" w:hAnsi="Times New Roman" w:cs="Times New Roman"/>
          <w:sz w:val="24"/>
          <w:szCs w:val="24"/>
        </w:rPr>
        <w:t xml:space="preserve"> que os direitos econômicos, sociais e culturais não podem ser submetidos ao regime de petições individuais previsto na CADH (§ 21). Além disso,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argumentou</w:t>
      </w:r>
      <w:r w:rsidR="00770503" w:rsidRPr="008077AC">
        <w:rPr>
          <w:rFonts w:ascii="Times New Roman" w:eastAsia="Times New Roman" w:hAnsi="Times New Roman" w:cs="Times New Roman"/>
          <w:sz w:val="24"/>
          <w:szCs w:val="24"/>
        </w:rPr>
        <w:t xml:space="preserve"> que o direito ao trabalho não é diretamente protegido pelo SIDH, bem como que o Estado possui ampla estrutura jurídica de proteção aos trabalhadores, inclusive aqueles que exercem atividades perigosas (§ 147).</w:t>
      </w:r>
    </w:p>
    <w:p w14:paraId="59F1A680" w14:textId="62CAE78C" w:rsidR="00EF58E0" w:rsidRPr="008077AC" w:rsidRDefault="00EF58E0" w:rsidP="00EF58E0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A Corte regional, por cinco votos a favor e dois contra, julgou improcedente a exceção preliminar suscitada pelo Brasil relativa à incompetência </w:t>
      </w:r>
      <w:r w:rsidRPr="008077AC">
        <w:rPr>
          <w:rFonts w:ascii="Times New Roman" w:eastAsia="Times New Roman" w:hAnsi="Times New Roman" w:cs="Times New Roman"/>
          <w:i/>
          <w:sz w:val="24"/>
          <w:szCs w:val="24"/>
        </w:rPr>
        <w:t xml:space="preserve">ratione materiae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do tribunal; e, por seis voto a favor e um contra, concluiu que o Estado seria responsável pela violação, entre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lastRenderedPageBreak/>
        <w:t>outros, do direito ao trabalho, mediante aplicação do artigo 26 da CADH.</w:t>
      </w:r>
    </w:p>
    <w:p w14:paraId="32C00493" w14:textId="72AC2B27" w:rsidR="003D4C8A" w:rsidRPr="008077AC" w:rsidRDefault="00770503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Ao rejeitar </w:t>
      </w:r>
      <w:r w:rsidR="00EF58E0" w:rsidRPr="008077AC">
        <w:rPr>
          <w:rFonts w:ascii="Times New Roman" w:eastAsia="Times New Roman" w:hAnsi="Times New Roman" w:cs="Times New Roman"/>
          <w:sz w:val="24"/>
          <w:szCs w:val="24"/>
        </w:rPr>
        <w:t>os argumentos do Estado demandado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, a Corte IDH </w:t>
      </w:r>
      <w:r w:rsidR="00623E6A" w:rsidRPr="008077AC">
        <w:rPr>
          <w:rFonts w:ascii="Times New Roman" w:eastAsia="Times New Roman" w:hAnsi="Times New Roman" w:cs="Times New Roman"/>
          <w:sz w:val="24"/>
          <w:szCs w:val="24"/>
        </w:rPr>
        <w:t xml:space="preserve">reafirmou sua jurisprudência sobre o conteúdo do artigo 26 </w:t>
      </w:r>
      <w:r w:rsidR="003D4C8A" w:rsidRPr="008077AC">
        <w:rPr>
          <w:rFonts w:ascii="Times New Roman" w:eastAsia="Times New Roman" w:hAnsi="Times New Roman" w:cs="Times New Roman"/>
          <w:sz w:val="24"/>
          <w:szCs w:val="24"/>
        </w:rPr>
        <w:t>– que demanda</w:t>
      </w:r>
      <w:r w:rsidR="00623E6A" w:rsidRPr="008077AC">
        <w:rPr>
          <w:rFonts w:ascii="Times New Roman" w:eastAsia="Times New Roman" w:hAnsi="Times New Roman" w:cs="Times New Roman"/>
          <w:sz w:val="24"/>
          <w:szCs w:val="24"/>
        </w:rPr>
        <w:t xml:space="preserve"> análise integrativa das normas econômicas, sociais e sobre educação, ciência e cultura constantes da Carta da Organização dos Estados Americanos. Desse modo, apontou que há referência nos artigos 45.b, 45.c, 46 e 34.g da Carta, com suficiente grau de especificidade, </w:t>
      </w:r>
      <w:r w:rsidR="003D4C8A" w:rsidRPr="008077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23E6A" w:rsidRPr="008077AC">
        <w:rPr>
          <w:rFonts w:ascii="Times New Roman" w:eastAsia="Times New Roman" w:hAnsi="Times New Roman" w:cs="Times New Roman"/>
          <w:sz w:val="24"/>
          <w:szCs w:val="24"/>
        </w:rPr>
        <w:t>o direito a condições equitativas e satisfatórias que garantam a segurança, a saúde e a higiene no trabalho</w:t>
      </w:r>
      <w:r w:rsidR="003D4C8A" w:rsidRPr="008077AC">
        <w:rPr>
          <w:rFonts w:ascii="Times New Roman" w:eastAsia="Times New Roman" w:hAnsi="Times New Roman" w:cs="Times New Roman"/>
          <w:sz w:val="24"/>
          <w:szCs w:val="24"/>
        </w:rPr>
        <w:t xml:space="preserve"> (§ 155).</w:t>
      </w:r>
    </w:p>
    <w:p w14:paraId="18CD37F7" w14:textId="7950F591" w:rsidR="003D4C8A" w:rsidRPr="008077AC" w:rsidRDefault="003D4C8A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Por conseguinte, a Corte destacou que a determinação do alcance de tal direito deve se dar </w:t>
      </w:r>
      <w:r w:rsidR="00190FAA">
        <w:rPr>
          <w:rFonts w:ascii="Times New Roman" w:eastAsia="Times New Roman" w:hAnsi="Times New Roman" w:cs="Times New Roman"/>
          <w:sz w:val="24"/>
          <w:szCs w:val="24"/>
        </w:rPr>
        <w:t xml:space="preserve">em conformidade com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8077AC">
        <w:rPr>
          <w:rFonts w:ascii="Times New Roman" w:eastAsia="Times New Roman" w:hAnsi="Times New Roman" w:cs="Times New Roman"/>
          <w:i/>
          <w:sz w:val="24"/>
          <w:szCs w:val="24"/>
        </w:rPr>
        <w:t xml:space="preserve">corpus juris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internacional e a legislação interna do Estado Brasileiro, tendo em conta o princípio </w:t>
      </w:r>
      <w:r w:rsidRPr="008077AC">
        <w:rPr>
          <w:rFonts w:ascii="Times New Roman" w:eastAsia="Times New Roman" w:hAnsi="Times New Roman" w:cs="Times New Roman"/>
          <w:i/>
          <w:sz w:val="24"/>
          <w:szCs w:val="24"/>
        </w:rPr>
        <w:t xml:space="preserve">pro persona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previsto no artigo 29 da Convenção</w:t>
      </w:r>
      <w:r w:rsidR="00190FA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bem como </w:t>
      </w:r>
      <w:r w:rsidR="00190FAA">
        <w:rPr>
          <w:rFonts w:ascii="Times New Roman" w:eastAsia="Times New Roman" w:hAnsi="Times New Roman" w:cs="Times New Roman"/>
          <w:sz w:val="24"/>
          <w:szCs w:val="24"/>
        </w:rPr>
        <w:t xml:space="preserve">com a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interpretação evolutiva dos tratados de direitos humanos, que são instrumentos vivos e devem ser apreciados </w:t>
      </w:r>
      <w:r w:rsidR="00EF58E0" w:rsidRPr="008077AC">
        <w:rPr>
          <w:rFonts w:ascii="Times New Roman" w:eastAsia="Times New Roman" w:hAnsi="Times New Roman" w:cs="Times New Roman"/>
          <w:sz w:val="24"/>
          <w:szCs w:val="24"/>
        </w:rPr>
        <w:t xml:space="preserve">à vista da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evolução dos tempos e </w:t>
      </w:r>
      <w:r w:rsidR="00EF58E0" w:rsidRPr="008077A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as condições de vida vigentes (§156, § 157, § 158).</w:t>
      </w:r>
    </w:p>
    <w:p w14:paraId="2BBF7826" w14:textId="2C66CDAC" w:rsidR="00055E17" w:rsidRPr="008077AC" w:rsidRDefault="00055E17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Após realizar circunstanciada análise </w:t>
      </w:r>
      <w:r w:rsidR="005C0D57" w:rsidRPr="008077AC">
        <w:rPr>
          <w:rFonts w:ascii="Times New Roman" w:eastAsia="Times New Roman" w:hAnsi="Times New Roman" w:cs="Times New Roman"/>
          <w:sz w:val="24"/>
          <w:szCs w:val="24"/>
        </w:rPr>
        <w:t>do cenário de proteção ao referido direito nos âmbitos doméstico e internacional, a Corte IDH aduziu que</w:t>
      </w:r>
    </w:p>
    <w:p w14:paraId="46364236" w14:textId="77777777" w:rsidR="005C0D57" w:rsidRPr="008077AC" w:rsidRDefault="005C0D57" w:rsidP="005C0D57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</w:rPr>
      </w:pPr>
    </w:p>
    <w:p w14:paraId="69B6A24B" w14:textId="7C9704DE" w:rsidR="005C0D57" w:rsidRPr="008077AC" w:rsidRDefault="005C0D57" w:rsidP="005C0D57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</w:rPr>
        <w:t>esse direito implica que o trabalhador possa realizar seu trabalho em condições adequadas de segurança, higiene e saúde, que previnam acidentes de trabalho, o que é especialmente relevante quando se trata de atividades que implicam riscos significativos para a vida e a integridade das pessoas. Além disso, de forma específica, à luz da legislação brasileira, esse direito implica a adoção de medidas de prevenção e redução de riscos inerentes ao trabalho e de acidentes de trabalho; a obrigação de proporcionar equipamentos de proteção adequados frente aos riscos decorrentes do trabalho; a caracterização, a cargo das autoridades de trabalho, da insalubridade e da insegurança no trabalho; e a obrigação de fiscalizar essas condições, também a cargo das autoridades de trabalho (§174).</w:t>
      </w:r>
    </w:p>
    <w:p w14:paraId="420F8CCB" w14:textId="77777777" w:rsidR="003D4C8A" w:rsidRPr="008077AC" w:rsidRDefault="003D4C8A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8B151" w14:textId="375C9E8F" w:rsidR="005C0D57" w:rsidRPr="008077AC" w:rsidRDefault="005C0D57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>Diante disso, a Corte concluiu que, apesar de o Brasil ter cumprido seu dever de regulamentar a atividade desenvolvida na fábrica de fogos, falhou n</w:t>
      </w:r>
      <w:r w:rsidR="00EF58E0" w:rsidRPr="008077AC">
        <w:rPr>
          <w:rFonts w:ascii="Times New Roman" w:eastAsia="Times New Roman" w:hAnsi="Times New Roman" w:cs="Times New Roman"/>
          <w:sz w:val="24"/>
          <w:szCs w:val="24"/>
        </w:rPr>
        <w:t xml:space="preserve">a obrigação de fiscalizar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as condições de trabalho, </w:t>
      </w:r>
      <w:r w:rsidR="00EF58E0" w:rsidRPr="008077AC">
        <w:rPr>
          <w:rFonts w:ascii="Times New Roman" w:eastAsia="Times New Roman" w:hAnsi="Times New Roman" w:cs="Times New Roman"/>
          <w:sz w:val="24"/>
          <w:szCs w:val="24"/>
        </w:rPr>
        <w:t>com o objetivo de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prevenir a ocorrência de acidentes (§ 176).</w:t>
      </w:r>
    </w:p>
    <w:p w14:paraId="0249D1EF" w14:textId="2C67D677" w:rsidR="00097C9E" w:rsidRPr="008077AC" w:rsidRDefault="005C0D57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Como se não bastasse, </w:t>
      </w:r>
      <w:r w:rsidR="00097C9E" w:rsidRPr="008077AC">
        <w:rPr>
          <w:rFonts w:ascii="Times New Roman" w:eastAsia="Times New Roman" w:hAnsi="Times New Roman" w:cs="Times New Roman"/>
          <w:sz w:val="24"/>
          <w:szCs w:val="24"/>
        </w:rPr>
        <w:t xml:space="preserve">a Corte constatou que o Estado não realizou supervisão sobre a proibição de trabalho infantil nas atividades perigosas executadas na fábrica de fogos (§ 177). E, por fim, concluiu que a situação de pobreza das vítimas, associada aos fatores interseccionais de discriminação em razão da raça e do gênero, conferiu-lhes uma situação de </w:t>
      </w:r>
      <w:r w:rsidR="00EF58E0" w:rsidRPr="008077AC">
        <w:rPr>
          <w:rFonts w:ascii="Times New Roman" w:eastAsia="Times New Roman" w:hAnsi="Times New Roman" w:cs="Times New Roman"/>
          <w:sz w:val="24"/>
          <w:szCs w:val="24"/>
        </w:rPr>
        <w:t xml:space="preserve">particular </w:t>
      </w:r>
      <w:r w:rsidR="00097C9E" w:rsidRPr="008077AC">
        <w:rPr>
          <w:rFonts w:ascii="Times New Roman" w:eastAsia="Times New Roman" w:hAnsi="Times New Roman" w:cs="Times New Roman"/>
          <w:sz w:val="24"/>
          <w:szCs w:val="24"/>
        </w:rPr>
        <w:t xml:space="preserve">vulnerabilidade que facilitou </w:t>
      </w:r>
      <w:r w:rsidR="00190FA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97C9E" w:rsidRPr="008077AC">
        <w:rPr>
          <w:rFonts w:ascii="Times New Roman" w:eastAsia="Times New Roman" w:hAnsi="Times New Roman" w:cs="Times New Roman"/>
          <w:sz w:val="24"/>
          <w:szCs w:val="24"/>
        </w:rPr>
        <w:t xml:space="preserve">funcionamento de fábrica dedicada a atividade perigosa sem fiscalização estatal, ao tempo que as levou a aceitar um trabalho que colocava em risco sua vida </w:t>
      </w:r>
      <w:r w:rsidR="00097C9E" w:rsidRPr="008077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 integridade (§ </w:t>
      </w:r>
      <w:r w:rsidR="00B70966" w:rsidRPr="008077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7C9E" w:rsidRPr="008077AC">
        <w:rPr>
          <w:rFonts w:ascii="Times New Roman" w:eastAsia="Times New Roman" w:hAnsi="Times New Roman" w:cs="Times New Roman"/>
          <w:sz w:val="24"/>
          <w:szCs w:val="24"/>
        </w:rPr>
        <w:t>03).</w:t>
      </w:r>
    </w:p>
    <w:p w14:paraId="4A9E51B9" w14:textId="18DE2AAF" w:rsidR="00EF58E0" w:rsidRPr="008077AC" w:rsidRDefault="00EF58E0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Em que pese o julgamento demonstre o ímpeto da Corte IDH em dar continuidade à </w:t>
      </w:r>
      <w:r w:rsidR="006F2381" w:rsidRPr="008077AC">
        <w:rPr>
          <w:rFonts w:ascii="Times New Roman" w:eastAsia="Times New Roman" w:hAnsi="Times New Roman" w:cs="Times New Roman"/>
          <w:sz w:val="24"/>
          <w:szCs w:val="24"/>
        </w:rPr>
        <w:t>orientação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 jurisprudencial inaugurada no caso Lagos del Campo v. Peru (2017), não se pode perder de vista que foram apresentados votos dissidentes pelos juízes Vio Grossi e Sierra Porto. Ambos criticaram o reconhecimento da violação direta ao artigo 26 pelo tribunal, ante o fundamento de que tal dispositivo não contempla propriamente um catálogo de direitos e de que o Protocolo de San Salvador apenas autoriza o sistema de petições individuais para a tutela de alguns aspectos do direito à liberdade sindical e do direito à educação.</w:t>
      </w:r>
    </w:p>
    <w:p w14:paraId="33FE07CE" w14:textId="51135929" w:rsidR="006F2381" w:rsidRPr="008077AC" w:rsidRDefault="00EF58E0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De toda forma, </w:t>
      </w:r>
      <w:r w:rsidR="006F2381" w:rsidRPr="008077AC">
        <w:rPr>
          <w:rFonts w:ascii="Times New Roman" w:eastAsia="Times New Roman" w:hAnsi="Times New Roman" w:cs="Times New Roman"/>
          <w:sz w:val="24"/>
          <w:szCs w:val="24"/>
        </w:rPr>
        <w:t xml:space="preserve">conclui-se que 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o precedente analisado</w:t>
      </w:r>
      <w:r w:rsidR="006F2381" w:rsidRPr="008077AC">
        <w:rPr>
          <w:rFonts w:ascii="Times New Roman" w:eastAsia="Times New Roman" w:hAnsi="Times New Roman" w:cs="Times New Roman"/>
          <w:sz w:val="24"/>
          <w:szCs w:val="24"/>
        </w:rPr>
        <w:t xml:space="preserve"> pode ser considerado emblemático por envolver a primeira condenação do Estado Brasileiro, no âmbito do SIDH, por violação autônoma ao artigo 26 da CADH. Além disso, representa mais um avanço na posição da Corte IDH sobre a justiciabilidade dos direitos sociais</w:t>
      </w:r>
      <w:r w:rsidR="00B70966" w:rsidRPr="008077A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F2381" w:rsidRPr="008077AC">
        <w:rPr>
          <w:rFonts w:ascii="Times New Roman" w:eastAsia="Times New Roman" w:hAnsi="Times New Roman" w:cs="Times New Roman"/>
          <w:sz w:val="24"/>
          <w:szCs w:val="24"/>
        </w:rPr>
        <w:t xml:space="preserve"> que melhor se coaduna com a universalidade, </w:t>
      </w:r>
      <w:r w:rsidR="006E549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F2381" w:rsidRPr="008077AC">
        <w:rPr>
          <w:rFonts w:ascii="Times New Roman" w:eastAsia="Times New Roman" w:hAnsi="Times New Roman" w:cs="Times New Roman"/>
          <w:sz w:val="24"/>
          <w:szCs w:val="24"/>
        </w:rPr>
        <w:t xml:space="preserve">interdependência e </w:t>
      </w:r>
      <w:r w:rsidR="006E549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F2381" w:rsidRPr="008077AC">
        <w:rPr>
          <w:rFonts w:ascii="Times New Roman" w:eastAsia="Times New Roman" w:hAnsi="Times New Roman" w:cs="Times New Roman"/>
          <w:sz w:val="24"/>
          <w:szCs w:val="24"/>
        </w:rPr>
        <w:t>indivisibilidade dos direitos humanos, bem como com a interpretação teleológica, evolutiva e sistemática da Convenção.</w:t>
      </w:r>
    </w:p>
    <w:p w14:paraId="0B67B302" w14:textId="77777777" w:rsidR="006F2381" w:rsidRPr="008077AC" w:rsidRDefault="006F2381" w:rsidP="002C3DB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F0143" w14:textId="20A15073" w:rsidR="002E6622" w:rsidRPr="008077AC" w:rsidRDefault="006F2381" w:rsidP="008077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67981E6C" w14:textId="51D3FC7C" w:rsidR="0015633E" w:rsidRPr="008077AC" w:rsidRDefault="0015633E" w:rsidP="008077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E73A3" w14:textId="77777777" w:rsidR="0015633E" w:rsidRPr="000932E9" w:rsidRDefault="0015633E" w:rsidP="008077AC">
      <w:pPr>
        <w:pStyle w:val="CorpoA"/>
        <w:suppressAutoHyphens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s-AR"/>
        </w:rPr>
      </w:pPr>
      <w:r w:rsidRPr="008077AC">
        <w:rPr>
          <w:rFonts w:ascii="Times New Roman" w:hAnsi="Times New Roman" w:cs="Times New Roman"/>
          <w:sz w:val="24"/>
          <w:szCs w:val="24"/>
        </w:rPr>
        <w:t xml:space="preserve">ALDAO, Martín. CLÉRICO, Laura. </w:t>
      </w:r>
      <w:r w:rsidRPr="000932E9">
        <w:rPr>
          <w:rFonts w:ascii="Times New Roman" w:hAnsi="Times New Roman" w:cs="Times New Roman"/>
          <w:sz w:val="24"/>
          <w:szCs w:val="24"/>
          <w:lang w:val="es-AR"/>
        </w:rPr>
        <w:t xml:space="preserve">El derecho social autónomo a la salud y sus contenidos. El caso Poblete Vilches y el examen de (in)cumplimiento de las obligaciones impostergables y no ponderables. In: MORALES ANTONIAZZI, Mariela. CLÉRICO, Laura (Coord.). </w:t>
      </w:r>
      <w:r w:rsidRPr="000932E9">
        <w:rPr>
          <w:rFonts w:ascii="Times New Roman" w:hAnsi="Times New Roman" w:cs="Times New Roman"/>
          <w:b/>
          <w:sz w:val="24"/>
          <w:szCs w:val="24"/>
          <w:lang w:val="es-AR"/>
        </w:rPr>
        <w:t>Interamericanización del derecho a la salud</w:t>
      </w:r>
      <w:r w:rsidRPr="000932E9">
        <w:rPr>
          <w:rFonts w:ascii="Times New Roman" w:hAnsi="Times New Roman" w:cs="Times New Roman"/>
          <w:sz w:val="24"/>
          <w:szCs w:val="24"/>
          <w:lang w:val="es-AR"/>
        </w:rPr>
        <w:t>: perspectivas a la luz del caso Poblete de la Corte IDH. Querétaro: Instituto de Estudios Constitucionales del Estado de Querétaro, 2019. p. 335-362.</w:t>
      </w:r>
    </w:p>
    <w:p w14:paraId="03A7957C" w14:textId="77777777" w:rsidR="0015633E" w:rsidRPr="000932E9" w:rsidRDefault="0015633E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3FC74FD" w14:textId="06D667D9" w:rsidR="0015633E" w:rsidRPr="008077AC" w:rsidRDefault="0015633E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BAZÁN, Víctor. Un desafío fundamental para el sistema interamericano de derechos humanos: la justiciabilidad directa de los derechos económicos, sociales y culturales. </w:t>
      </w:r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>Europea</w:t>
      </w:r>
      <w:proofErr w:type="spellEnd"/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>Derechos</w:t>
      </w:r>
      <w:proofErr w:type="spellEnd"/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>Fundamentales</w:t>
      </w:r>
      <w:proofErr w:type="spellEnd"/>
      <w:r w:rsidRPr="008077AC">
        <w:rPr>
          <w:rFonts w:ascii="Times New Roman" w:eastAsia="Times New Roman" w:hAnsi="Times New Roman" w:cs="Times New Roman"/>
          <w:sz w:val="24"/>
          <w:szCs w:val="24"/>
        </w:rPr>
        <w:t>, Valencia, v. 25, p. 61-98, 1° sem. 2015.</w:t>
      </w:r>
    </w:p>
    <w:p w14:paraId="6A5AB42A" w14:textId="34BEA246" w:rsidR="008077AC" w:rsidRPr="008077AC" w:rsidRDefault="008077AC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0EDE7" w14:textId="3D312DCC" w:rsidR="008077AC" w:rsidRPr="008077AC" w:rsidRDefault="008077AC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CORTE IDH. </w:t>
      </w:r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>Caso Empregados da Fábrica de Fogos de Santo Antônio de Jesus e seus familiares v. Brasil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. Sentença de 15 de julho de 2020 (exceções preliminares, mérito, reparações e custas).</w:t>
      </w:r>
    </w:p>
    <w:p w14:paraId="35976B38" w14:textId="77777777" w:rsidR="008077AC" w:rsidRPr="008077AC" w:rsidRDefault="008077AC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E1010" w14:textId="54232C11" w:rsidR="008077AC" w:rsidRPr="008077AC" w:rsidRDefault="008077AC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CORTE IDH. </w:t>
      </w:r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>Caso Furlan e Familiares v. Argentina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. Sentença de 31 de agosto de 2012 (exceções preliminares, mérito, reparações e custas).</w:t>
      </w:r>
    </w:p>
    <w:p w14:paraId="3D45846A" w14:textId="77777777" w:rsidR="008077AC" w:rsidRPr="008077AC" w:rsidRDefault="008077AC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42A4E" w14:textId="688B2634" w:rsidR="008077AC" w:rsidRPr="008077AC" w:rsidRDefault="008077AC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AC">
        <w:rPr>
          <w:rFonts w:ascii="Times New Roman" w:eastAsia="Times New Roman" w:hAnsi="Times New Roman" w:cs="Times New Roman"/>
          <w:sz w:val="24"/>
          <w:szCs w:val="24"/>
        </w:rPr>
        <w:t xml:space="preserve">CORTE IDH. </w:t>
      </w:r>
      <w:r w:rsidRPr="008077AC">
        <w:rPr>
          <w:rFonts w:ascii="Times New Roman" w:eastAsia="Times New Roman" w:hAnsi="Times New Roman" w:cs="Times New Roman"/>
          <w:b/>
          <w:sz w:val="24"/>
          <w:szCs w:val="24"/>
        </w:rPr>
        <w:t>Caso Lagos del Campo v. Peru</w:t>
      </w:r>
      <w:r w:rsidRPr="008077AC">
        <w:rPr>
          <w:rFonts w:ascii="Times New Roman" w:eastAsia="Times New Roman" w:hAnsi="Times New Roman" w:cs="Times New Roman"/>
          <w:sz w:val="24"/>
          <w:szCs w:val="24"/>
        </w:rPr>
        <w:t>. Sentença de 31 de agosto de 2017 (exceções preliminares, mérito, reparações e custas).</w:t>
      </w:r>
    </w:p>
    <w:p w14:paraId="06D0A992" w14:textId="0E05F6D2" w:rsidR="008077AC" w:rsidRPr="008077AC" w:rsidRDefault="008077AC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207FF" w14:textId="77777777" w:rsidR="008077AC" w:rsidRPr="008077AC" w:rsidRDefault="008077AC" w:rsidP="008077AC">
      <w:pPr>
        <w:pStyle w:val="CorpoA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77AC">
        <w:rPr>
          <w:rFonts w:ascii="Times New Roman" w:hAnsi="Times New Roman" w:cs="Times New Roman"/>
          <w:sz w:val="24"/>
          <w:szCs w:val="24"/>
        </w:rPr>
        <w:t xml:space="preserve">CORTE IDH. </w:t>
      </w:r>
      <w:r w:rsidRPr="008077AC">
        <w:rPr>
          <w:rFonts w:ascii="Times New Roman" w:hAnsi="Times New Roman" w:cs="Times New Roman"/>
          <w:b/>
          <w:sz w:val="24"/>
          <w:szCs w:val="24"/>
        </w:rPr>
        <w:t>Caso “</w:t>
      </w:r>
      <w:proofErr w:type="spellStart"/>
      <w:r w:rsidRPr="008077AC">
        <w:rPr>
          <w:rFonts w:ascii="Times New Roman" w:hAnsi="Times New Roman" w:cs="Times New Roman"/>
          <w:b/>
          <w:sz w:val="24"/>
          <w:szCs w:val="24"/>
        </w:rPr>
        <w:t>Ninõs</w:t>
      </w:r>
      <w:proofErr w:type="spellEnd"/>
      <w:r w:rsidRPr="008077AC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8077AC">
        <w:rPr>
          <w:rFonts w:ascii="Times New Roman" w:hAnsi="Times New Roman" w:cs="Times New Roman"/>
          <w:b/>
          <w:sz w:val="24"/>
          <w:szCs w:val="24"/>
        </w:rPr>
        <w:t>Calle</w:t>
      </w:r>
      <w:proofErr w:type="spellEnd"/>
      <w:r w:rsidRPr="008077AC">
        <w:rPr>
          <w:rFonts w:ascii="Times New Roman" w:hAnsi="Times New Roman" w:cs="Times New Roman"/>
          <w:b/>
          <w:sz w:val="24"/>
          <w:szCs w:val="24"/>
        </w:rPr>
        <w:t>” (</w:t>
      </w:r>
      <w:proofErr w:type="spellStart"/>
      <w:r w:rsidRPr="008077AC">
        <w:rPr>
          <w:rFonts w:ascii="Times New Roman" w:hAnsi="Times New Roman" w:cs="Times New Roman"/>
          <w:b/>
          <w:sz w:val="24"/>
          <w:szCs w:val="24"/>
        </w:rPr>
        <w:t>Villagrán</w:t>
      </w:r>
      <w:proofErr w:type="spellEnd"/>
      <w:r w:rsidRPr="008077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77AC">
        <w:rPr>
          <w:rFonts w:ascii="Times New Roman" w:hAnsi="Times New Roman" w:cs="Times New Roman"/>
          <w:b/>
          <w:sz w:val="24"/>
          <w:szCs w:val="24"/>
        </w:rPr>
        <w:t>Morales</w:t>
      </w:r>
      <w:proofErr w:type="spellEnd"/>
      <w:r w:rsidRPr="008077AC">
        <w:rPr>
          <w:rFonts w:ascii="Times New Roman" w:hAnsi="Times New Roman" w:cs="Times New Roman"/>
          <w:b/>
          <w:sz w:val="24"/>
          <w:szCs w:val="24"/>
        </w:rPr>
        <w:t xml:space="preserve"> e outros) v. Guatemala</w:t>
      </w:r>
      <w:r w:rsidRPr="008077AC">
        <w:rPr>
          <w:rFonts w:ascii="Times New Roman" w:hAnsi="Times New Roman" w:cs="Times New Roman"/>
          <w:sz w:val="24"/>
          <w:szCs w:val="24"/>
        </w:rPr>
        <w:t>. Sentença de 19 de novembro de 1999 (mérito).</w:t>
      </w:r>
    </w:p>
    <w:p w14:paraId="78B9AB0F" w14:textId="77777777" w:rsidR="008077AC" w:rsidRPr="008077AC" w:rsidRDefault="008077AC" w:rsidP="008077AC">
      <w:pPr>
        <w:pStyle w:val="CorpoA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5E44E19" w14:textId="77777777" w:rsidR="008077AC" w:rsidRPr="008077AC" w:rsidRDefault="008077AC" w:rsidP="008077AC">
      <w:pPr>
        <w:pStyle w:val="CorpoA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77AC">
        <w:rPr>
          <w:rFonts w:ascii="Times New Roman" w:hAnsi="Times New Roman" w:cs="Times New Roman"/>
          <w:sz w:val="24"/>
          <w:szCs w:val="24"/>
        </w:rPr>
        <w:lastRenderedPageBreak/>
        <w:t xml:space="preserve">CORTE IDH. </w:t>
      </w:r>
      <w:r w:rsidRPr="008077AC">
        <w:rPr>
          <w:rFonts w:ascii="Times New Roman" w:hAnsi="Times New Roman" w:cs="Times New Roman"/>
          <w:b/>
          <w:sz w:val="24"/>
          <w:szCs w:val="24"/>
        </w:rPr>
        <w:t xml:space="preserve">Caso </w:t>
      </w:r>
      <w:proofErr w:type="spellStart"/>
      <w:r w:rsidRPr="008077AC">
        <w:rPr>
          <w:rFonts w:ascii="Times New Roman" w:hAnsi="Times New Roman" w:cs="Times New Roman"/>
          <w:b/>
          <w:sz w:val="24"/>
          <w:szCs w:val="24"/>
        </w:rPr>
        <w:t>Poblete</w:t>
      </w:r>
      <w:proofErr w:type="spellEnd"/>
      <w:r w:rsidRPr="008077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77AC">
        <w:rPr>
          <w:rFonts w:ascii="Times New Roman" w:hAnsi="Times New Roman" w:cs="Times New Roman"/>
          <w:b/>
          <w:sz w:val="24"/>
          <w:szCs w:val="24"/>
        </w:rPr>
        <w:t>Vilches</w:t>
      </w:r>
      <w:proofErr w:type="spellEnd"/>
      <w:r w:rsidRPr="008077AC">
        <w:rPr>
          <w:rFonts w:ascii="Times New Roman" w:hAnsi="Times New Roman" w:cs="Times New Roman"/>
          <w:b/>
          <w:sz w:val="24"/>
          <w:szCs w:val="24"/>
        </w:rPr>
        <w:t xml:space="preserve"> e outros v. Chile</w:t>
      </w:r>
      <w:r w:rsidRPr="008077AC">
        <w:rPr>
          <w:rFonts w:ascii="Times New Roman" w:hAnsi="Times New Roman" w:cs="Times New Roman"/>
          <w:sz w:val="24"/>
          <w:szCs w:val="24"/>
        </w:rPr>
        <w:t>. Sentença de 8 de março de 2018 (mérito, reparações e custas).</w:t>
      </w:r>
    </w:p>
    <w:p w14:paraId="15DA9349" w14:textId="38E623D5" w:rsidR="008077AC" w:rsidRPr="008077AC" w:rsidRDefault="008077AC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B059248" w14:textId="77777777" w:rsidR="008077AC" w:rsidRPr="008077AC" w:rsidRDefault="008077AC" w:rsidP="008077AC">
      <w:pPr>
        <w:pStyle w:val="CorpoA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77AC">
        <w:rPr>
          <w:rFonts w:ascii="Times New Roman" w:hAnsi="Times New Roman" w:cs="Times New Roman"/>
          <w:sz w:val="24"/>
          <w:szCs w:val="24"/>
        </w:rPr>
        <w:t xml:space="preserve">CORTE IDH. </w:t>
      </w:r>
      <w:r w:rsidRPr="008077AC">
        <w:rPr>
          <w:rFonts w:ascii="Times New Roman" w:hAnsi="Times New Roman" w:cs="Times New Roman"/>
          <w:b/>
          <w:sz w:val="24"/>
          <w:szCs w:val="24"/>
        </w:rPr>
        <w:t>Caso Ximenes Lopes v. Brasil</w:t>
      </w:r>
      <w:r w:rsidRPr="008077AC">
        <w:rPr>
          <w:rFonts w:ascii="Times New Roman" w:hAnsi="Times New Roman" w:cs="Times New Roman"/>
          <w:sz w:val="24"/>
          <w:szCs w:val="24"/>
        </w:rPr>
        <w:t>. Sentença de 4 de julho de 2006 (mérito, reparações e custas).</w:t>
      </w:r>
    </w:p>
    <w:p w14:paraId="6FF979E4" w14:textId="5CAD9A4E" w:rsidR="008077AC" w:rsidRPr="008077AC" w:rsidRDefault="008077AC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9AE9EBC" w14:textId="78D880AE" w:rsidR="0015633E" w:rsidRPr="000932E9" w:rsidRDefault="0015633E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932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MAC-GREGOR, Eduardo Ferrer. </w:t>
      </w:r>
      <w:r w:rsidRPr="000932E9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La justiciabilidad de los derechos económicos, sociales, culturales y ambientales en el sistema interamericano de derechos humanos</w:t>
      </w:r>
      <w:r w:rsidRPr="000932E9">
        <w:rPr>
          <w:rFonts w:ascii="Times New Roman" w:eastAsia="Times New Roman" w:hAnsi="Times New Roman" w:cs="Times New Roman"/>
          <w:sz w:val="24"/>
          <w:szCs w:val="24"/>
          <w:lang w:val="es-AR"/>
        </w:rPr>
        <w:t>. Cidade de México: Universidad Nacional Autónoma de México, 2017.</w:t>
      </w:r>
    </w:p>
    <w:p w14:paraId="24CD839B" w14:textId="7B3E9677" w:rsidR="0015633E" w:rsidRPr="000932E9" w:rsidRDefault="0015633E" w:rsidP="0080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7271E30B" w14:textId="20F64C83" w:rsidR="00844166" w:rsidRPr="008077AC" w:rsidRDefault="0015633E" w:rsidP="008077AC">
      <w:pPr>
        <w:pStyle w:val="CorpoA"/>
        <w:suppressAutoHyphens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s-AR"/>
        </w:rPr>
      </w:pPr>
      <w:r w:rsidRPr="008077AC">
        <w:rPr>
          <w:rFonts w:ascii="Times New Roman" w:hAnsi="Times New Roman" w:cs="Times New Roman"/>
          <w:sz w:val="24"/>
          <w:szCs w:val="24"/>
          <w:lang w:val="es-AR"/>
        </w:rPr>
        <w:t xml:space="preserve">NOGUEIRA ALCALÁ, Humberto. Los derechos económicos, sociales y culturales como derechos fundamentales efectivos en el constitucionalismo democrático latinoamericano. </w:t>
      </w:r>
      <w:r w:rsidR="008077AC" w:rsidRPr="008077AC">
        <w:rPr>
          <w:rFonts w:ascii="Times New Roman" w:hAnsi="Times New Roman" w:cs="Times New Roman"/>
          <w:b/>
          <w:sz w:val="24"/>
          <w:szCs w:val="24"/>
          <w:lang w:val="es-AR"/>
        </w:rPr>
        <w:t xml:space="preserve">Revista </w:t>
      </w:r>
      <w:r w:rsidRPr="008077AC">
        <w:rPr>
          <w:rFonts w:ascii="Times New Roman" w:hAnsi="Times New Roman" w:cs="Times New Roman"/>
          <w:b/>
          <w:sz w:val="24"/>
          <w:szCs w:val="24"/>
          <w:lang w:val="es-AR"/>
        </w:rPr>
        <w:t>Estudios Constitucionales</w:t>
      </w:r>
      <w:r w:rsidRPr="008077AC">
        <w:rPr>
          <w:rFonts w:ascii="Times New Roman" w:hAnsi="Times New Roman" w:cs="Times New Roman"/>
          <w:sz w:val="24"/>
          <w:szCs w:val="24"/>
          <w:lang w:val="es-AR"/>
        </w:rPr>
        <w:t>, v. 7</w:t>
      </w:r>
      <w:r w:rsidR="008077AC" w:rsidRPr="008077AC">
        <w:rPr>
          <w:rFonts w:ascii="Times New Roman" w:hAnsi="Times New Roman" w:cs="Times New Roman"/>
          <w:sz w:val="24"/>
          <w:szCs w:val="24"/>
          <w:lang w:val="es-AR"/>
        </w:rPr>
        <w:t>, n. 2, p. 143-205, 2009.</w:t>
      </w:r>
    </w:p>
    <w:sectPr w:rsidR="00844166" w:rsidRPr="008077AC" w:rsidSect="005F407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10B1" w14:textId="77777777" w:rsidR="00F322E1" w:rsidRDefault="00F322E1" w:rsidP="00646E7E">
      <w:pPr>
        <w:spacing w:after="0" w:line="240" w:lineRule="auto"/>
      </w:pPr>
      <w:r>
        <w:separator/>
      </w:r>
    </w:p>
  </w:endnote>
  <w:endnote w:type="continuationSeparator" w:id="0">
    <w:p w14:paraId="4653147A" w14:textId="77777777" w:rsidR="00F322E1" w:rsidRDefault="00F322E1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ECDA6" w14:textId="77777777" w:rsidR="00F322E1" w:rsidRDefault="00F322E1" w:rsidP="00646E7E">
      <w:pPr>
        <w:spacing w:after="0" w:line="240" w:lineRule="auto"/>
      </w:pPr>
      <w:r>
        <w:separator/>
      </w:r>
    </w:p>
  </w:footnote>
  <w:footnote w:type="continuationSeparator" w:id="0">
    <w:p w14:paraId="7B9585CB" w14:textId="77777777" w:rsidR="00F322E1" w:rsidRDefault="00F322E1" w:rsidP="00646E7E">
      <w:pPr>
        <w:spacing w:after="0" w:line="240" w:lineRule="auto"/>
      </w:pPr>
      <w:r>
        <w:continuationSeparator/>
      </w:r>
    </w:p>
  </w:footnote>
  <w:footnote w:id="1">
    <w:p w14:paraId="29C96F2D" w14:textId="54DE4197" w:rsidR="00BC1851" w:rsidRPr="00190FAA" w:rsidRDefault="00BC1851" w:rsidP="00190FA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90FAA">
        <w:rPr>
          <w:rStyle w:val="FootnoteReference"/>
          <w:rFonts w:ascii="Times New Roman" w:hAnsi="Times New Roman" w:cs="Times New Roman"/>
        </w:rPr>
        <w:footnoteRef/>
      </w:r>
      <w:r w:rsidRPr="00190FAA">
        <w:rPr>
          <w:rFonts w:ascii="Times New Roman" w:hAnsi="Times New Roman" w:cs="Times New Roman"/>
        </w:rPr>
        <w:t xml:space="preserve"> </w:t>
      </w:r>
      <w:r w:rsidR="00714827" w:rsidRPr="00190FAA">
        <w:rPr>
          <w:rFonts w:ascii="Times New Roman" w:hAnsi="Times New Roman" w:cs="Times New Roman"/>
        </w:rPr>
        <w:t>No precedente “</w:t>
      </w:r>
      <w:proofErr w:type="spellStart"/>
      <w:r w:rsidR="00714827" w:rsidRPr="00190FAA">
        <w:rPr>
          <w:rFonts w:ascii="Times New Roman" w:hAnsi="Times New Roman" w:cs="Times New Roman"/>
        </w:rPr>
        <w:t>Niños</w:t>
      </w:r>
      <w:proofErr w:type="spellEnd"/>
      <w:r w:rsidR="00714827" w:rsidRPr="00190FAA">
        <w:rPr>
          <w:rFonts w:ascii="Times New Roman" w:hAnsi="Times New Roman" w:cs="Times New Roman"/>
        </w:rPr>
        <w:t xml:space="preserve"> de </w:t>
      </w:r>
      <w:proofErr w:type="spellStart"/>
      <w:r w:rsidR="00714827" w:rsidRPr="00190FAA">
        <w:rPr>
          <w:rFonts w:ascii="Times New Roman" w:hAnsi="Times New Roman" w:cs="Times New Roman"/>
        </w:rPr>
        <w:t>la</w:t>
      </w:r>
      <w:proofErr w:type="spellEnd"/>
      <w:r w:rsidR="00714827" w:rsidRPr="00190FAA">
        <w:rPr>
          <w:rFonts w:ascii="Times New Roman" w:hAnsi="Times New Roman" w:cs="Times New Roman"/>
        </w:rPr>
        <w:t xml:space="preserve"> </w:t>
      </w:r>
      <w:proofErr w:type="spellStart"/>
      <w:r w:rsidR="00714827" w:rsidRPr="00190FAA">
        <w:rPr>
          <w:rFonts w:ascii="Times New Roman" w:hAnsi="Times New Roman" w:cs="Times New Roman"/>
        </w:rPr>
        <w:t>Calle</w:t>
      </w:r>
      <w:proofErr w:type="spellEnd"/>
      <w:r w:rsidR="00714827" w:rsidRPr="00190FAA">
        <w:rPr>
          <w:rFonts w:ascii="Times New Roman" w:hAnsi="Times New Roman" w:cs="Times New Roman"/>
        </w:rPr>
        <w:t>” (</w:t>
      </w:r>
      <w:proofErr w:type="spellStart"/>
      <w:r w:rsidR="00714827" w:rsidRPr="00190FAA">
        <w:rPr>
          <w:rFonts w:ascii="Times New Roman" w:hAnsi="Times New Roman" w:cs="Times New Roman"/>
        </w:rPr>
        <w:t>Villagrán</w:t>
      </w:r>
      <w:proofErr w:type="spellEnd"/>
      <w:r w:rsidR="00714827" w:rsidRPr="00190FAA">
        <w:rPr>
          <w:rFonts w:ascii="Times New Roman" w:hAnsi="Times New Roman" w:cs="Times New Roman"/>
        </w:rPr>
        <w:t xml:space="preserve"> Morales e outros) v. Guatemala (1999), a Corte IDH reconheceu a violação, entre outros, do direito à vida, apontando que este compreende não só o direito de todo indivíduo de não ter sua vida privada arbitrariamente, mas também o acesso a todas as condições positivas que garantam uma existência digna. </w:t>
      </w:r>
    </w:p>
  </w:footnote>
  <w:footnote w:id="2">
    <w:p w14:paraId="639A1F14" w14:textId="0BAE744D" w:rsidR="00BC1851" w:rsidRPr="00190FAA" w:rsidRDefault="00BC1851" w:rsidP="00190FA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90FAA">
        <w:rPr>
          <w:rStyle w:val="FootnoteReference"/>
          <w:rFonts w:ascii="Times New Roman" w:hAnsi="Times New Roman" w:cs="Times New Roman"/>
        </w:rPr>
        <w:footnoteRef/>
      </w:r>
      <w:r w:rsidRPr="00190FAA">
        <w:rPr>
          <w:rFonts w:ascii="Times New Roman" w:hAnsi="Times New Roman" w:cs="Times New Roman"/>
        </w:rPr>
        <w:t xml:space="preserve"> </w:t>
      </w:r>
      <w:r w:rsidR="00714827" w:rsidRPr="00190FAA">
        <w:rPr>
          <w:rFonts w:ascii="Times New Roman" w:hAnsi="Times New Roman" w:cs="Times New Roman"/>
        </w:rPr>
        <w:t>Na sentença do caso Ximenes Lopes v. Brasil (2006), a Corte examinou os direitos à vida e à integridade pessoal e teceu relevantes reflexões sobre a responsabilidade estatal na supervisão da prestação de serviços de saúde mental</w:t>
      </w:r>
      <w:r w:rsidR="00DF2293">
        <w:rPr>
          <w:rFonts w:ascii="Times New Roman" w:hAnsi="Times New Roman" w:cs="Times New Roman"/>
        </w:rPr>
        <w:t>.</w:t>
      </w:r>
    </w:p>
  </w:footnote>
  <w:footnote w:id="3">
    <w:p w14:paraId="3F1B5C3A" w14:textId="06191B12" w:rsidR="007414A0" w:rsidRPr="00190FAA" w:rsidRDefault="00BC1851" w:rsidP="00190FA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90FAA">
        <w:rPr>
          <w:rStyle w:val="FootnoteReference"/>
          <w:rFonts w:ascii="Times New Roman" w:hAnsi="Times New Roman" w:cs="Times New Roman"/>
        </w:rPr>
        <w:footnoteRef/>
      </w:r>
      <w:r w:rsidRPr="00190FAA">
        <w:rPr>
          <w:rFonts w:ascii="Times New Roman" w:hAnsi="Times New Roman" w:cs="Times New Roman"/>
        </w:rPr>
        <w:t xml:space="preserve"> </w:t>
      </w:r>
      <w:r w:rsidR="00714827" w:rsidRPr="00190FAA">
        <w:rPr>
          <w:rFonts w:ascii="Times New Roman" w:hAnsi="Times New Roman" w:cs="Times New Roman"/>
        </w:rPr>
        <w:t xml:space="preserve">Ao julgar o caso Furlan e Familiares v. Argentina (2012), a Corte proferiu condenação diante da demora excessiva no julgamento de ação civil que pretendia obter indenização para assegurar tratamento médico a uma criança com deficiência. Sob a ótica do direito de acesso à justiça e da duração razoável do processo, </w:t>
      </w:r>
      <w:r w:rsidR="007414A0" w:rsidRPr="00190FAA">
        <w:rPr>
          <w:rFonts w:ascii="Times New Roman" w:hAnsi="Times New Roman" w:cs="Times New Roman"/>
        </w:rPr>
        <w:t>foi observado que o atraso na indenização impediu o menor de receber tratamento de saúde que poderia ter lhe assegurado melhor qualidade de vida.</w:t>
      </w:r>
    </w:p>
    <w:p w14:paraId="6CD9F0E0" w14:textId="0C302668" w:rsidR="00BC1851" w:rsidRPr="00190FAA" w:rsidRDefault="00BC1851" w:rsidP="00190FA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7C80" w14:textId="64CA4EFB" w:rsidR="00646E7E" w:rsidRDefault="00E14A86" w:rsidP="008441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Header"/>
      <w:rPr>
        <w:noProof/>
      </w:rPr>
    </w:pPr>
  </w:p>
  <w:p w14:paraId="0CCD5649" w14:textId="3C73D615" w:rsidR="00E14A86" w:rsidRDefault="00E14A86" w:rsidP="00844166">
    <w:pPr>
      <w:pStyle w:val="Header"/>
      <w:rPr>
        <w:noProof/>
      </w:rPr>
    </w:pPr>
  </w:p>
  <w:p w14:paraId="42E8B9DF" w14:textId="752F7C78" w:rsidR="00E14A86" w:rsidRDefault="00E14A86" w:rsidP="00844166">
    <w:pPr>
      <w:pStyle w:val="Header"/>
      <w:rPr>
        <w:noProof/>
      </w:rPr>
    </w:pPr>
  </w:p>
  <w:p w14:paraId="516CC3D3" w14:textId="77777777" w:rsidR="00E14A86" w:rsidRPr="00844166" w:rsidRDefault="00E14A86" w:rsidP="00844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055E17"/>
    <w:rsid w:val="000932E9"/>
    <w:rsid w:val="00097C9E"/>
    <w:rsid w:val="000A03AC"/>
    <w:rsid w:val="000B7C39"/>
    <w:rsid w:val="00140E35"/>
    <w:rsid w:val="0015633E"/>
    <w:rsid w:val="00190FAA"/>
    <w:rsid w:val="001D1FBA"/>
    <w:rsid w:val="0020054E"/>
    <w:rsid w:val="0022259E"/>
    <w:rsid w:val="0022420E"/>
    <w:rsid w:val="00270FDD"/>
    <w:rsid w:val="002C3DB6"/>
    <w:rsid w:val="002E19CC"/>
    <w:rsid w:val="002E6622"/>
    <w:rsid w:val="0031152C"/>
    <w:rsid w:val="0035214C"/>
    <w:rsid w:val="003B5598"/>
    <w:rsid w:val="003D1E54"/>
    <w:rsid w:val="003D331B"/>
    <w:rsid w:val="003D4C8A"/>
    <w:rsid w:val="004A2EB8"/>
    <w:rsid w:val="004B183F"/>
    <w:rsid w:val="004C430C"/>
    <w:rsid w:val="004C5DAA"/>
    <w:rsid w:val="00596825"/>
    <w:rsid w:val="005C0D57"/>
    <w:rsid w:val="005C28FB"/>
    <w:rsid w:val="005F2348"/>
    <w:rsid w:val="005F4076"/>
    <w:rsid w:val="00603CE9"/>
    <w:rsid w:val="00623E6A"/>
    <w:rsid w:val="00646E7E"/>
    <w:rsid w:val="00664A40"/>
    <w:rsid w:val="006836C0"/>
    <w:rsid w:val="006907AE"/>
    <w:rsid w:val="006E5496"/>
    <w:rsid w:val="006F2381"/>
    <w:rsid w:val="00714827"/>
    <w:rsid w:val="00723756"/>
    <w:rsid w:val="007414A0"/>
    <w:rsid w:val="0076481E"/>
    <w:rsid w:val="00770503"/>
    <w:rsid w:val="008077AC"/>
    <w:rsid w:val="0081691D"/>
    <w:rsid w:val="00844166"/>
    <w:rsid w:val="00870E69"/>
    <w:rsid w:val="00953CC1"/>
    <w:rsid w:val="0099182E"/>
    <w:rsid w:val="009A7209"/>
    <w:rsid w:val="009B16A0"/>
    <w:rsid w:val="00A9767D"/>
    <w:rsid w:val="00AD1792"/>
    <w:rsid w:val="00B60B9B"/>
    <w:rsid w:val="00B70966"/>
    <w:rsid w:val="00B77F9F"/>
    <w:rsid w:val="00BC1851"/>
    <w:rsid w:val="00BE35D1"/>
    <w:rsid w:val="00C1688E"/>
    <w:rsid w:val="00C35757"/>
    <w:rsid w:val="00C635F0"/>
    <w:rsid w:val="00C66D67"/>
    <w:rsid w:val="00CA21F3"/>
    <w:rsid w:val="00CA514D"/>
    <w:rsid w:val="00CC63D9"/>
    <w:rsid w:val="00D07E86"/>
    <w:rsid w:val="00D213A1"/>
    <w:rsid w:val="00D54BF0"/>
    <w:rsid w:val="00D94316"/>
    <w:rsid w:val="00DA5D6C"/>
    <w:rsid w:val="00DF2293"/>
    <w:rsid w:val="00E14A86"/>
    <w:rsid w:val="00E35B4F"/>
    <w:rsid w:val="00E54C7D"/>
    <w:rsid w:val="00E55D80"/>
    <w:rsid w:val="00EF1BF7"/>
    <w:rsid w:val="00EF58E0"/>
    <w:rsid w:val="00F322E1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7E"/>
  </w:style>
  <w:style w:type="paragraph" w:styleId="Footer">
    <w:name w:val="footer"/>
    <w:basedOn w:val="Normal"/>
    <w:link w:val="Foot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7E"/>
  </w:style>
  <w:style w:type="character" w:styleId="CommentReference">
    <w:name w:val="annotation reference"/>
    <w:basedOn w:val="DefaultParagraphFont"/>
    <w:uiPriority w:val="99"/>
    <w:semiHidden/>
    <w:unhideWhenUsed/>
    <w:rsid w:val="00844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BC18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18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851"/>
    <w:rPr>
      <w:vertAlign w:val="superscript"/>
    </w:rPr>
  </w:style>
  <w:style w:type="paragraph" w:customStyle="1" w:styleId="CorpoA">
    <w:name w:val="Corpo A"/>
    <w:qFormat/>
    <w:rsid w:val="0015633E"/>
    <w:pPr>
      <w:spacing w:after="200" w:line="360" w:lineRule="auto"/>
      <w:jc w:val="both"/>
    </w:pPr>
    <w:rPr>
      <w:rFonts w:ascii="Calibri" w:eastAsia="Calibri" w:hAnsi="Calibri" w:cs="Calibri"/>
      <w:color w:val="000000"/>
      <w:kern w:val="1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B286-B7AA-D44A-BEC1-1E0D06FD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1976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Amanda Reis</cp:lastModifiedBy>
  <cp:revision>6</cp:revision>
  <cp:lastPrinted>2020-11-08T01:04:00Z</cp:lastPrinted>
  <dcterms:created xsi:type="dcterms:W3CDTF">2020-11-07T22:45:00Z</dcterms:created>
  <dcterms:modified xsi:type="dcterms:W3CDTF">2020-11-17T19:49:00Z</dcterms:modified>
</cp:coreProperties>
</file>