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80B8D" w14:textId="26BDE167" w:rsidR="0097172C" w:rsidRDefault="00577DF8" w:rsidP="00C0508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2E7A05">
        <w:rPr>
          <w:rFonts w:ascii="Times New Roman" w:hAnsi="Times New Roman" w:cs="Times New Roman"/>
          <w:b/>
          <w:bCs/>
          <w:sz w:val="28"/>
          <w:szCs w:val="24"/>
        </w:rPr>
        <w:t xml:space="preserve">RELAÇÃO </w:t>
      </w:r>
      <w:r w:rsidR="00D34F2B">
        <w:rPr>
          <w:rFonts w:ascii="Times New Roman" w:hAnsi="Times New Roman" w:cs="Times New Roman"/>
          <w:b/>
          <w:bCs/>
          <w:sz w:val="28"/>
          <w:szCs w:val="24"/>
        </w:rPr>
        <w:t>ENTRE</w:t>
      </w:r>
      <w:r w:rsidR="00D3416F" w:rsidRPr="002E7A05">
        <w:rPr>
          <w:rFonts w:ascii="Times New Roman" w:hAnsi="Times New Roman" w:cs="Times New Roman"/>
          <w:b/>
          <w:bCs/>
          <w:sz w:val="28"/>
          <w:szCs w:val="24"/>
        </w:rPr>
        <w:t xml:space="preserve"> ESPESSURA DO MÚSCULO ADUTOR DO POLEGAR E INDICADORES </w:t>
      </w:r>
      <w:r w:rsidRPr="002E7A05">
        <w:rPr>
          <w:rFonts w:ascii="Times New Roman" w:hAnsi="Times New Roman" w:cs="Times New Roman"/>
          <w:b/>
          <w:bCs/>
          <w:sz w:val="28"/>
          <w:szCs w:val="24"/>
        </w:rPr>
        <w:t xml:space="preserve">ANTROPOMÉTRICOS </w:t>
      </w:r>
      <w:r w:rsidR="00D3416F" w:rsidRPr="002E7A05">
        <w:rPr>
          <w:rFonts w:ascii="Times New Roman" w:hAnsi="Times New Roman" w:cs="Times New Roman"/>
          <w:b/>
          <w:bCs/>
          <w:sz w:val="28"/>
          <w:szCs w:val="24"/>
        </w:rPr>
        <w:t>EM IDOSOS</w:t>
      </w:r>
    </w:p>
    <w:bookmarkEnd w:id="0"/>
    <w:p w14:paraId="49F2BB7F" w14:textId="77777777" w:rsidR="006C16F5" w:rsidRDefault="006C16F5" w:rsidP="006C16F5">
      <w:pPr>
        <w:spacing w:line="36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111D44A4" w14:textId="2ADF0C97" w:rsidR="006C16F5" w:rsidRPr="000F036F" w:rsidRDefault="006C16F5" w:rsidP="006C16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36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F9845DF" w14:textId="5E5B3954" w:rsidR="00577DF8" w:rsidRDefault="00D35D80" w:rsidP="00C9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DF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41E94" w:rsidRPr="00577DF8">
        <w:rPr>
          <w:rFonts w:ascii="Times New Roman" w:hAnsi="Times New Roman" w:cs="Times New Roman"/>
          <w:sz w:val="24"/>
          <w:szCs w:val="24"/>
        </w:rPr>
        <w:t xml:space="preserve"> A </w:t>
      </w:r>
      <w:r w:rsidR="00F13DDD" w:rsidRPr="00577DF8">
        <w:rPr>
          <w:rFonts w:ascii="Times New Roman" w:hAnsi="Times New Roman" w:cs="Times New Roman"/>
          <w:sz w:val="24"/>
          <w:szCs w:val="24"/>
        </w:rPr>
        <w:t>espessura do músculo adutor do polegar (</w:t>
      </w:r>
      <w:r w:rsidR="00941E94" w:rsidRPr="00577DF8">
        <w:rPr>
          <w:rFonts w:ascii="Times New Roman" w:hAnsi="Times New Roman" w:cs="Times New Roman"/>
          <w:sz w:val="24"/>
          <w:szCs w:val="24"/>
        </w:rPr>
        <w:t>EMAP</w:t>
      </w:r>
      <w:r w:rsidR="00F13DDD" w:rsidRPr="00577DF8">
        <w:rPr>
          <w:rFonts w:ascii="Times New Roman" w:hAnsi="Times New Roman" w:cs="Times New Roman"/>
          <w:sz w:val="24"/>
          <w:szCs w:val="24"/>
        </w:rPr>
        <w:t>)</w:t>
      </w:r>
      <w:r w:rsidR="00941E94" w:rsidRPr="00577DF8">
        <w:rPr>
          <w:rFonts w:ascii="Times New Roman" w:hAnsi="Times New Roman" w:cs="Times New Roman"/>
          <w:sz w:val="24"/>
          <w:szCs w:val="24"/>
        </w:rPr>
        <w:t xml:space="preserve"> tem </w:t>
      </w:r>
      <w:r w:rsidR="00F13DDD" w:rsidRPr="00577DF8">
        <w:rPr>
          <w:rFonts w:ascii="Times New Roman" w:hAnsi="Times New Roman" w:cs="Times New Roman"/>
          <w:sz w:val="24"/>
          <w:szCs w:val="24"/>
        </w:rPr>
        <w:t xml:space="preserve">sido sugerido como </w:t>
      </w:r>
      <w:r w:rsidR="00872D06" w:rsidRPr="00577DF8">
        <w:rPr>
          <w:rFonts w:ascii="Times New Roman" w:hAnsi="Times New Roman" w:cs="Times New Roman"/>
          <w:sz w:val="24"/>
          <w:szCs w:val="24"/>
        </w:rPr>
        <w:t xml:space="preserve">uma </w:t>
      </w:r>
      <w:r w:rsidR="00941E94" w:rsidRPr="00577DF8">
        <w:rPr>
          <w:rFonts w:ascii="Times New Roman" w:hAnsi="Times New Roman" w:cs="Times New Roman"/>
          <w:sz w:val="24"/>
          <w:szCs w:val="24"/>
        </w:rPr>
        <w:t xml:space="preserve">boa alternativa para avaliar o risco </w:t>
      </w:r>
      <w:r w:rsidR="00F13DDD" w:rsidRPr="00577DF8">
        <w:rPr>
          <w:rFonts w:ascii="Times New Roman" w:hAnsi="Times New Roman" w:cs="Times New Roman"/>
          <w:sz w:val="24"/>
          <w:szCs w:val="24"/>
        </w:rPr>
        <w:t>de desnutrição em idosos</w:t>
      </w:r>
      <w:r w:rsidR="00941E94" w:rsidRPr="00577DF8">
        <w:rPr>
          <w:rFonts w:ascii="Times New Roman" w:hAnsi="Times New Roman" w:cs="Times New Roman"/>
          <w:sz w:val="24"/>
          <w:szCs w:val="24"/>
        </w:rPr>
        <w:t>.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9100D7" w:rsidRPr="00577DF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205D0A" w:rsidRPr="00577DF8">
        <w:rPr>
          <w:rFonts w:ascii="Times New Roman" w:hAnsi="Times New Roman" w:cs="Times New Roman"/>
          <w:sz w:val="24"/>
          <w:szCs w:val="24"/>
        </w:rPr>
        <w:t>R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elacionar a EMAP com indicadores antropométricos convencionais em idosos. </w:t>
      </w:r>
      <w:r w:rsidRPr="00577DF8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 Estudo transversal realizado com</w:t>
      </w:r>
      <w:r w:rsidR="00DA7ABC" w:rsidRPr="00577DF8">
        <w:rPr>
          <w:rFonts w:ascii="Times New Roman" w:hAnsi="Times New Roman" w:cs="Times New Roman"/>
          <w:sz w:val="24"/>
          <w:szCs w:val="24"/>
        </w:rPr>
        <w:t xml:space="preserve"> idosos</w:t>
      </w:r>
      <w:r w:rsidR="009100D7" w:rsidRPr="00577DF8">
        <w:rPr>
          <w:rFonts w:ascii="Times New Roman" w:hAnsi="Times New Roman" w:cs="Times New Roman"/>
          <w:sz w:val="24"/>
          <w:szCs w:val="24"/>
        </w:rPr>
        <w:t xml:space="preserve"> de comunidade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, de ambos os sexos. </w:t>
      </w:r>
      <w:r w:rsidR="009100D7" w:rsidRPr="00577DF8">
        <w:rPr>
          <w:rFonts w:ascii="Times New Roman" w:hAnsi="Times New Roman" w:cs="Times New Roman"/>
          <w:sz w:val="24"/>
          <w:szCs w:val="24"/>
        </w:rPr>
        <w:t>Os indicadores nutricionais avaliados foram</w:t>
      </w:r>
      <w:r w:rsidR="00F13DDD" w:rsidRPr="00577DF8">
        <w:rPr>
          <w:rFonts w:ascii="Times New Roman" w:hAnsi="Times New Roman" w:cs="Times New Roman"/>
          <w:sz w:val="24"/>
          <w:szCs w:val="24"/>
        </w:rPr>
        <w:t xml:space="preserve"> a EMAP, </w:t>
      </w:r>
      <w:r w:rsidR="009100D7" w:rsidRPr="00577DF8">
        <w:rPr>
          <w:rFonts w:ascii="Times New Roman" w:hAnsi="Times New Roman" w:cs="Times New Roman"/>
          <w:sz w:val="24"/>
          <w:szCs w:val="24"/>
        </w:rPr>
        <w:t>índice de massa corporal (IMC), circunferências do braço (CB), muscular do braço (CMB) e da panturrilha (CP).</w:t>
      </w:r>
      <w:r w:rsidR="009100D7" w:rsidRPr="00577D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DF8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817211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Observou-se que 32,7% dos idosos tinham baixo peso, o risco nutricional/desnutrição foi de 56% pela classificação da CMB e 40,3% pela classificação da CB. A maioria dos idosos apresentavam CP adequado (73,6%). Houve correlação estatisticamente significante entre a EMAP e todos indicadores nutricionais</w:t>
      </w:r>
      <w:r w:rsidR="001D2646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2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DF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7172C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C85DB0" w:rsidRPr="00577DF8">
        <w:rPr>
          <w:rFonts w:ascii="Times New Roman" w:hAnsi="Times New Roman" w:cs="Times New Roman"/>
          <w:sz w:val="24"/>
          <w:szCs w:val="24"/>
        </w:rPr>
        <w:t xml:space="preserve"> A </w:t>
      </w:r>
      <w:r w:rsidR="00F80829" w:rsidRPr="00577DF8">
        <w:rPr>
          <w:rFonts w:ascii="Times New Roman" w:hAnsi="Times New Roman" w:cs="Times New Roman"/>
          <w:sz w:val="24"/>
          <w:szCs w:val="24"/>
        </w:rPr>
        <w:t>EMAP demostrou-se ser um bom parâmetro para a avaliação nutricional de rotina considerando sua associação a outros métodos de avaliação tradicionais.</w:t>
      </w:r>
    </w:p>
    <w:p w14:paraId="79604E3B" w14:textId="77777777" w:rsidR="00577DF8" w:rsidRDefault="00577DF8" w:rsidP="00C9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95DFF" w14:textId="364B3074" w:rsidR="00DD521C" w:rsidRDefault="009606C9" w:rsidP="00C95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C5"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664579">
        <w:rPr>
          <w:rFonts w:ascii="Times New Roman" w:hAnsi="Times New Roman" w:cs="Times New Roman"/>
          <w:sz w:val="24"/>
          <w:szCs w:val="24"/>
        </w:rPr>
        <w:t xml:space="preserve"> </w:t>
      </w:r>
      <w:r w:rsidR="006C16F5">
        <w:rPr>
          <w:rFonts w:ascii="Times New Roman" w:hAnsi="Times New Roman" w:cs="Times New Roman"/>
          <w:sz w:val="24"/>
          <w:szCs w:val="24"/>
        </w:rPr>
        <w:t>Antropometria; Desnutrição;</w:t>
      </w:r>
      <w:r w:rsidR="00664579">
        <w:rPr>
          <w:rFonts w:ascii="Times New Roman" w:hAnsi="Times New Roman" w:cs="Times New Roman"/>
          <w:sz w:val="24"/>
          <w:szCs w:val="24"/>
        </w:rPr>
        <w:t xml:space="preserve"> Avaliação Nutricional</w:t>
      </w:r>
      <w:r w:rsidR="00D53EC5" w:rsidRPr="00D53EC5">
        <w:rPr>
          <w:rFonts w:ascii="Times New Roman" w:hAnsi="Times New Roman" w:cs="Times New Roman"/>
          <w:sz w:val="24"/>
          <w:szCs w:val="24"/>
        </w:rPr>
        <w:t>.</w:t>
      </w:r>
    </w:p>
    <w:p w14:paraId="23FD91C3" w14:textId="77777777" w:rsidR="009606C9" w:rsidRDefault="009606C9" w:rsidP="00C95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AF9C1" w14:textId="5FBD39D3" w:rsidR="00593BFE" w:rsidRPr="00577DF8" w:rsidRDefault="009A7FEA" w:rsidP="00C952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DF8">
        <w:rPr>
          <w:rFonts w:ascii="Times New Roman" w:hAnsi="Times New Roman" w:cs="Times New Roman"/>
          <w:b/>
          <w:sz w:val="24"/>
          <w:szCs w:val="24"/>
        </w:rPr>
        <w:t>INTRODUÇÃO</w:t>
      </w:r>
      <w:bookmarkStart w:id="1" w:name="_Toc36544521"/>
    </w:p>
    <w:p w14:paraId="73B947E1" w14:textId="6FEE8155" w:rsidR="00D271A8" w:rsidRDefault="007F2AFD" w:rsidP="00C9525B">
      <w:pPr>
        <w:tabs>
          <w:tab w:val="left" w:pos="36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8C6">
        <w:rPr>
          <w:rFonts w:ascii="Times New Roman" w:hAnsi="Times New Roman" w:cs="Times New Roman"/>
          <w:sz w:val="24"/>
          <w:szCs w:val="24"/>
        </w:rPr>
        <w:t>A Espessura do Músculo Adutor do Polegar (EMAP) é uma medida antropométrica pouco invasiva, de baixo custo e simples, de fácil reprodutibilidade e praticidade, critérios importantes na escolha de uma ferramenta para a aferição na população geriátrica ambulatorial, sendo capaz de verificar a perda de massa muscular (VALENTE et al</w:t>
      </w:r>
      <w:r w:rsidR="00B0130F">
        <w:rPr>
          <w:rFonts w:ascii="Times New Roman" w:hAnsi="Times New Roman" w:cs="Times New Roman"/>
          <w:sz w:val="24"/>
          <w:szCs w:val="24"/>
        </w:rPr>
        <w:t>.</w:t>
      </w:r>
      <w:r w:rsidRPr="003728C6">
        <w:rPr>
          <w:rFonts w:ascii="Times New Roman" w:hAnsi="Times New Roman" w:cs="Times New Roman"/>
          <w:sz w:val="24"/>
          <w:szCs w:val="24"/>
        </w:rPr>
        <w:t>, 2016; PEREIRA et al</w:t>
      </w:r>
      <w:r w:rsidR="00B0130F">
        <w:rPr>
          <w:rFonts w:ascii="Times New Roman" w:hAnsi="Times New Roman" w:cs="Times New Roman"/>
          <w:sz w:val="24"/>
          <w:szCs w:val="24"/>
        </w:rPr>
        <w:t>.</w:t>
      </w:r>
      <w:r w:rsidRPr="003728C6">
        <w:rPr>
          <w:rFonts w:ascii="Times New Roman" w:hAnsi="Times New Roman" w:cs="Times New Roman"/>
          <w:sz w:val="24"/>
          <w:szCs w:val="24"/>
        </w:rPr>
        <w:t>, 2018).</w:t>
      </w:r>
      <w:r w:rsidR="00D271A8" w:rsidRPr="00D27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382E4" w14:textId="2BE47F55" w:rsidR="007F2AFD" w:rsidRPr="003728C6" w:rsidRDefault="00D271A8" w:rsidP="00C9525B">
      <w:pPr>
        <w:tabs>
          <w:tab w:val="left" w:pos="36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8C6">
        <w:rPr>
          <w:rFonts w:ascii="Times New Roman" w:hAnsi="Times New Roman" w:cs="Times New Roman"/>
          <w:sz w:val="24"/>
          <w:szCs w:val="24"/>
        </w:rPr>
        <w:t>A identificação precoce da desnutrição na população idosa, mesmo em ambiente não hospitalar, é importante pois visa a tomada de medidas preventivas, contribuindo para uma boa qualidade de vida e manutenção da capacidade funcional. Nesse processo, métodos de avaliação e/ou triagem são indispensáveis para identificar indivíduos em risco de desnutrição (</w:t>
      </w:r>
      <w:bookmarkStart w:id="2" w:name="_Hlk51232669"/>
      <w:r w:rsidRPr="003728C6">
        <w:rPr>
          <w:rFonts w:ascii="Times New Roman" w:hAnsi="Times New Roman" w:cs="Times New Roman"/>
          <w:sz w:val="24"/>
          <w:szCs w:val="24"/>
        </w:rPr>
        <w:t>BORKENT et al</w:t>
      </w:r>
      <w:r w:rsidR="00B0130F">
        <w:rPr>
          <w:rFonts w:ascii="Times New Roman" w:hAnsi="Times New Roman" w:cs="Times New Roman"/>
          <w:sz w:val="24"/>
          <w:szCs w:val="24"/>
        </w:rPr>
        <w:t>.</w:t>
      </w:r>
      <w:r w:rsidRPr="003728C6">
        <w:rPr>
          <w:rFonts w:ascii="Times New Roman" w:hAnsi="Times New Roman" w:cs="Times New Roman"/>
          <w:sz w:val="24"/>
          <w:szCs w:val="24"/>
        </w:rPr>
        <w:t>, 2019</w:t>
      </w:r>
      <w:bookmarkEnd w:id="2"/>
      <w:r w:rsidRPr="003728C6">
        <w:rPr>
          <w:rFonts w:ascii="Times New Roman" w:hAnsi="Times New Roman" w:cs="Times New Roman"/>
          <w:sz w:val="24"/>
          <w:szCs w:val="24"/>
        </w:rPr>
        <w:t>; NAMBOOZE; FUJIMURA; INAOKA, 2014).</w:t>
      </w:r>
    </w:p>
    <w:p w14:paraId="751FF672" w14:textId="1753BCAD" w:rsidR="002E7A05" w:rsidRPr="003728C6" w:rsidRDefault="007F2AFD" w:rsidP="00C952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8C6">
        <w:rPr>
          <w:rFonts w:ascii="Times New Roman" w:hAnsi="Times New Roman" w:cs="Times New Roman"/>
          <w:sz w:val="24"/>
          <w:szCs w:val="24"/>
        </w:rPr>
        <w:t>Dessa forma, a EMAP pode ser uma boa alternativa para identificar o</w:t>
      </w:r>
      <w:r w:rsidR="00972B19" w:rsidRPr="003728C6">
        <w:rPr>
          <w:rFonts w:ascii="Times New Roman" w:hAnsi="Times New Roman" w:cs="Times New Roman"/>
          <w:sz w:val="24"/>
          <w:szCs w:val="24"/>
        </w:rPr>
        <w:t xml:space="preserve"> risco </w:t>
      </w:r>
      <w:r w:rsidRPr="003728C6">
        <w:rPr>
          <w:rFonts w:ascii="Times New Roman" w:hAnsi="Times New Roman" w:cs="Times New Roman"/>
          <w:sz w:val="24"/>
          <w:szCs w:val="24"/>
        </w:rPr>
        <w:t xml:space="preserve">nutricional em idosos de comunidade, podendo ser utilizado de maneira mais </w:t>
      </w:r>
      <w:r w:rsidR="00B0130F">
        <w:rPr>
          <w:rFonts w:ascii="Times New Roman" w:hAnsi="Times New Roman" w:cs="Times New Roman"/>
          <w:sz w:val="24"/>
          <w:szCs w:val="24"/>
        </w:rPr>
        <w:t xml:space="preserve">sensível e </w:t>
      </w:r>
      <w:r w:rsidRPr="003728C6">
        <w:rPr>
          <w:rFonts w:ascii="Times New Roman" w:hAnsi="Times New Roman" w:cs="Times New Roman"/>
          <w:sz w:val="24"/>
          <w:szCs w:val="24"/>
        </w:rPr>
        <w:t>rápida que alguns indicadores nutricionais (PEREIRA et al</w:t>
      </w:r>
      <w:r w:rsidR="00B0130F">
        <w:rPr>
          <w:rFonts w:ascii="Times New Roman" w:hAnsi="Times New Roman" w:cs="Times New Roman"/>
          <w:sz w:val="24"/>
          <w:szCs w:val="24"/>
        </w:rPr>
        <w:t>.</w:t>
      </w:r>
      <w:r w:rsidRPr="003728C6">
        <w:rPr>
          <w:rFonts w:ascii="Times New Roman" w:hAnsi="Times New Roman" w:cs="Times New Roman"/>
          <w:sz w:val="24"/>
          <w:szCs w:val="24"/>
        </w:rPr>
        <w:t>, 2018; VALENTE et al</w:t>
      </w:r>
      <w:r w:rsidR="00B0130F">
        <w:rPr>
          <w:rFonts w:ascii="Times New Roman" w:hAnsi="Times New Roman" w:cs="Times New Roman"/>
          <w:sz w:val="24"/>
          <w:szCs w:val="24"/>
        </w:rPr>
        <w:t>.</w:t>
      </w:r>
      <w:r w:rsidRPr="003728C6">
        <w:rPr>
          <w:rFonts w:ascii="Times New Roman" w:hAnsi="Times New Roman" w:cs="Times New Roman"/>
          <w:sz w:val="24"/>
          <w:szCs w:val="24"/>
        </w:rPr>
        <w:t xml:space="preserve">, 2016). Portanto, este estudo teve como </w:t>
      </w:r>
      <w:bookmarkStart w:id="3" w:name="_Hlk46398112"/>
      <w:r w:rsidRPr="003728C6">
        <w:rPr>
          <w:rFonts w:ascii="Times New Roman" w:hAnsi="Times New Roman" w:cs="Times New Roman"/>
          <w:sz w:val="24"/>
          <w:szCs w:val="24"/>
        </w:rPr>
        <w:t>objetivo relacionar a EMAP com indicadores antropométricos convencionais em idosos de comunidade</w:t>
      </w:r>
      <w:bookmarkEnd w:id="3"/>
      <w:r w:rsidR="00972B19" w:rsidRPr="003728C6">
        <w:rPr>
          <w:rFonts w:ascii="Times New Roman" w:hAnsi="Times New Roman" w:cs="Times New Roman"/>
          <w:sz w:val="24"/>
          <w:szCs w:val="24"/>
        </w:rPr>
        <w:t>.</w:t>
      </w:r>
    </w:p>
    <w:p w14:paraId="33ACBE3A" w14:textId="77777777" w:rsidR="00C9525B" w:rsidRDefault="00C9525B" w:rsidP="00C9525B">
      <w:pPr>
        <w:pStyle w:val="Default"/>
        <w:spacing w:after="240" w:line="360" w:lineRule="auto"/>
        <w:jc w:val="both"/>
        <w:outlineLvl w:val="0"/>
        <w:rPr>
          <w:rFonts w:ascii="Times New Roman" w:hAnsi="Times New Roman"/>
          <w:b/>
          <w:bCs/>
          <w:szCs w:val="23"/>
        </w:rPr>
      </w:pPr>
    </w:p>
    <w:p w14:paraId="2F2A3814" w14:textId="56C6F961" w:rsidR="009A7FEA" w:rsidRPr="00577DF8" w:rsidRDefault="00577DF8" w:rsidP="00C9525B">
      <w:pPr>
        <w:pStyle w:val="Default"/>
        <w:spacing w:after="240" w:line="360" w:lineRule="auto"/>
        <w:jc w:val="both"/>
        <w:outlineLvl w:val="0"/>
        <w:rPr>
          <w:rFonts w:ascii="Times New Roman" w:hAnsi="Times New Roman"/>
          <w:b/>
          <w:bCs/>
          <w:szCs w:val="23"/>
        </w:rPr>
      </w:pPr>
      <w:r>
        <w:rPr>
          <w:rFonts w:ascii="Times New Roman" w:hAnsi="Times New Roman"/>
          <w:b/>
          <w:bCs/>
          <w:szCs w:val="23"/>
        </w:rPr>
        <w:lastRenderedPageBreak/>
        <w:t xml:space="preserve">2 </w:t>
      </w:r>
      <w:r w:rsidR="009A7FEA" w:rsidRPr="00577DF8">
        <w:rPr>
          <w:rFonts w:ascii="Times New Roman" w:hAnsi="Times New Roman"/>
          <w:b/>
          <w:bCs/>
          <w:szCs w:val="23"/>
        </w:rPr>
        <w:t>MÉTODOS</w:t>
      </w:r>
      <w:bookmarkEnd w:id="1"/>
    </w:p>
    <w:p w14:paraId="01B625B8" w14:textId="7AE5A3AF" w:rsidR="009A7FEA" w:rsidRPr="00664579" w:rsidRDefault="009A7FEA" w:rsidP="00C9525B">
      <w:pPr>
        <w:pStyle w:val="Default"/>
        <w:spacing w:after="240" w:line="360" w:lineRule="auto"/>
        <w:jc w:val="both"/>
        <w:outlineLvl w:val="1"/>
        <w:rPr>
          <w:rFonts w:ascii="Times New Roman" w:hAnsi="Times New Roman"/>
          <w:i/>
          <w:szCs w:val="23"/>
        </w:rPr>
      </w:pPr>
      <w:r w:rsidRPr="00664579">
        <w:rPr>
          <w:rFonts w:ascii="Times New Roman" w:hAnsi="Times New Roman"/>
          <w:i/>
          <w:szCs w:val="23"/>
        </w:rPr>
        <w:t xml:space="preserve"> </w:t>
      </w:r>
      <w:bookmarkStart w:id="4" w:name="_Toc36544522"/>
      <w:r w:rsidR="00577DF8" w:rsidRPr="00664579">
        <w:rPr>
          <w:rFonts w:ascii="Times New Roman" w:hAnsi="Times New Roman"/>
          <w:i/>
          <w:szCs w:val="23"/>
        </w:rPr>
        <w:t xml:space="preserve">2.1 </w:t>
      </w:r>
      <w:r w:rsidR="00664579" w:rsidRPr="00664579">
        <w:rPr>
          <w:rFonts w:ascii="Times New Roman" w:hAnsi="Times New Roman"/>
          <w:i/>
          <w:szCs w:val="23"/>
        </w:rPr>
        <w:t>Desenho do estudo e amostra</w:t>
      </w:r>
      <w:bookmarkEnd w:id="4"/>
      <w:r w:rsidR="00664579" w:rsidRPr="00664579">
        <w:rPr>
          <w:rFonts w:ascii="Times New Roman" w:hAnsi="Times New Roman"/>
          <w:i/>
          <w:szCs w:val="23"/>
        </w:rPr>
        <w:t xml:space="preserve"> </w:t>
      </w:r>
    </w:p>
    <w:p w14:paraId="43D1BE23" w14:textId="73DC7FF5" w:rsidR="009A7FEA" w:rsidRPr="00577DF8" w:rsidRDefault="009A7FEA" w:rsidP="00C9525B">
      <w:pPr>
        <w:pStyle w:val="Default"/>
        <w:spacing w:before="240" w:line="360" w:lineRule="auto"/>
        <w:ind w:firstLine="851"/>
        <w:jc w:val="both"/>
        <w:rPr>
          <w:rFonts w:ascii="Times New Roman" w:hAnsi="Times New Roman"/>
          <w:szCs w:val="23"/>
        </w:rPr>
      </w:pPr>
      <w:r w:rsidRPr="00577DF8">
        <w:rPr>
          <w:rFonts w:ascii="Times New Roman" w:hAnsi="Times New Roman"/>
          <w:szCs w:val="23"/>
        </w:rPr>
        <w:t xml:space="preserve">Estudo de caráter transversal, realizado </w:t>
      </w:r>
      <w:r w:rsidRPr="00577DF8">
        <w:rPr>
          <w:rFonts w:ascii="Times New Roman" w:hAnsi="Times New Roman"/>
          <w:color w:val="auto"/>
          <w:szCs w:val="23"/>
        </w:rPr>
        <w:t xml:space="preserve">com indivíduos, </w:t>
      </w:r>
      <w:r w:rsidRPr="00577DF8">
        <w:rPr>
          <w:rFonts w:ascii="Times New Roman" w:hAnsi="Times New Roman"/>
          <w:szCs w:val="23"/>
        </w:rPr>
        <w:t xml:space="preserve">de ambos os sexos, com idade ≥60 anos, atendidos em um ambulatório geriátrico na cidade de Lagarto/Se. </w:t>
      </w:r>
      <w:r w:rsidR="00A3398A" w:rsidRPr="00577DF8">
        <w:rPr>
          <w:rFonts w:ascii="Times New Roman" w:hAnsi="Times New Roman"/>
          <w:szCs w:val="23"/>
        </w:rPr>
        <w:t>Este estudo foi aprovado pelo Comitê de Ética em Pesquisa da Universidade Federal de Sergipe, estando em acordo com a Resolução Nº 466/2013, sendo aprovado com parecer nº 559.936.</w:t>
      </w:r>
    </w:p>
    <w:p w14:paraId="60782AB1" w14:textId="40D2A6DC" w:rsidR="009A7FEA" w:rsidRPr="00577DF8" w:rsidRDefault="009A7FEA" w:rsidP="00C9525B">
      <w:pPr>
        <w:pStyle w:val="Default"/>
        <w:spacing w:after="240" w:line="360" w:lineRule="auto"/>
        <w:ind w:firstLine="851"/>
        <w:jc w:val="both"/>
        <w:rPr>
          <w:rFonts w:ascii="Times New Roman" w:hAnsi="Times New Roman"/>
          <w:szCs w:val="23"/>
        </w:rPr>
      </w:pPr>
      <w:r w:rsidRPr="00577DF8">
        <w:rPr>
          <w:rFonts w:ascii="Times New Roman" w:hAnsi="Times New Roman"/>
          <w:szCs w:val="23"/>
        </w:rPr>
        <w:t xml:space="preserve">Foram adotados como critérios de inclusão indivíduos: com idade </w:t>
      </w:r>
      <w:r w:rsidR="00B0130F" w:rsidRPr="00577DF8">
        <w:rPr>
          <w:rFonts w:ascii="Times New Roman" w:hAnsi="Times New Roman"/>
          <w:szCs w:val="23"/>
        </w:rPr>
        <w:t>≥</w:t>
      </w:r>
      <w:r w:rsidRPr="00577DF8">
        <w:rPr>
          <w:rFonts w:ascii="Times New Roman" w:hAnsi="Times New Roman"/>
          <w:szCs w:val="23"/>
        </w:rPr>
        <w:t xml:space="preserve"> 60 anos, sem restrição de classe social, capazes de deambular e que aceitassem participar do estudo por meio da assinatura do Termo de Consentimento Livre e Esclarecido. Como critério de não-inclusão foram indivíduos: com idade </w:t>
      </w:r>
      <w:r w:rsidR="00B0130F">
        <w:rPr>
          <w:rFonts w:ascii="Times New Roman" w:hAnsi="Times New Roman"/>
          <w:szCs w:val="23"/>
        </w:rPr>
        <w:t>&lt;</w:t>
      </w:r>
      <w:r w:rsidRPr="00577DF8">
        <w:rPr>
          <w:rFonts w:ascii="Times New Roman" w:hAnsi="Times New Roman"/>
          <w:szCs w:val="23"/>
        </w:rPr>
        <w:t>60 anos; que apresentassem alguma limitação física e/ou postural que não permitisse a aferição das medidas antropométricas; com limitação cognitiva; que estivessem edemaciados, com ascite e/</w:t>
      </w:r>
      <w:r w:rsidRPr="00577DF8">
        <w:rPr>
          <w:rFonts w:ascii="Times New Roman" w:hAnsi="Times New Roman"/>
          <w:color w:val="auto"/>
          <w:szCs w:val="23"/>
        </w:rPr>
        <w:t xml:space="preserve">ou presença de </w:t>
      </w:r>
      <w:proofErr w:type="spellStart"/>
      <w:r w:rsidRPr="00577DF8">
        <w:rPr>
          <w:rFonts w:ascii="Times New Roman" w:hAnsi="Times New Roman"/>
          <w:color w:val="auto"/>
          <w:szCs w:val="23"/>
        </w:rPr>
        <w:t>v</w:t>
      </w:r>
      <w:r w:rsidR="00B0130F">
        <w:rPr>
          <w:rFonts w:ascii="Times New Roman" w:hAnsi="Times New Roman"/>
          <w:color w:val="auto"/>
          <w:szCs w:val="23"/>
        </w:rPr>
        <w:t>i</w:t>
      </w:r>
      <w:r w:rsidRPr="00577DF8">
        <w:rPr>
          <w:rFonts w:ascii="Times New Roman" w:hAnsi="Times New Roman"/>
          <w:color w:val="auto"/>
          <w:szCs w:val="23"/>
        </w:rPr>
        <w:t>sceromegalia</w:t>
      </w:r>
      <w:proofErr w:type="spellEnd"/>
      <w:r w:rsidRPr="00577DF8">
        <w:rPr>
          <w:rFonts w:ascii="Times New Roman" w:hAnsi="Times New Roman"/>
          <w:color w:val="auto"/>
          <w:szCs w:val="23"/>
        </w:rPr>
        <w:t>.</w:t>
      </w:r>
    </w:p>
    <w:p w14:paraId="7D0AC14E" w14:textId="0E40B703" w:rsidR="009A7FEA" w:rsidRPr="00664579" w:rsidRDefault="009A7FEA" w:rsidP="00C9525B">
      <w:pPr>
        <w:pStyle w:val="Default"/>
        <w:spacing w:before="240" w:after="240" w:line="360" w:lineRule="auto"/>
        <w:jc w:val="both"/>
        <w:outlineLvl w:val="1"/>
        <w:rPr>
          <w:rFonts w:ascii="Times New Roman" w:hAnsi="Times New Roman"/>
          <w:i/>
          <w:szCs w:val="23"/>
        </w:rPr>
      </w:pPr>
      <w:r w:rsidRPr="00664579">
        <w:rPr>
          <w:rFonts w:ascii="Times New Roman" w:hAnsi="Times New Roman"/>
          <w:b/>
          <w:bCs/>
          <w:i/>
          <w:szCs w:val="23"/>
        </w:rPr>
        <w:t xml:space="preserve"> </w:t>
      </w:r>
      <w:bookmarkStart w:id="5" w:name="_Toc36544523"/>
      <w:r w:rsidR="00577DF8" w:rsidRPr="00664579">
        <w:rPr>
          <w:rFonts w:ascii="Times New Roman" w:hAnsi="Times New Roman"/>
          <w:bCs/>
          <w:i/>
          <w:szCs w:val="23"/>
        </w:rPr>
        <w:t>2.2</w:t>
      </w:r>
      <w:r w:rsidR="00577DF8" w:rsidRPr="00664579">
        <w:rPr>
          <w:rFonts w:ascii="Times New Roman" w:hAnsi="Times New Roman"/>
          <w:b/>
          <w:bCs/>
          <w:i/>
          <w:szCs w:val="23"/>
        </w:rPr>
        <w:t xml:space="preserve"> </w:t>
      </w:r>
      <w:r w:rsidR="00664579" w:rsidRPr="00664579">
        <w:rPr>
          <w:rFonts w:ascii="Times New Roman" w:hAnsi="Times New Roman"/>
          <w:i/>
          <w:szCs w:val="23"/>
        </w:rPr>
        <w:t>Avaliação Antropométrica</w:t>
      </w:r>
      <w:bookmarkEnd w:id="5"/>
    </w:p>
    <w:p w14:paraId="20A6DAF4" w14:textId="59A3C3D1" w:rsidR="009A7FEA" w:rsidRPr="00577DF8" w:rsidRDefault="009A7FEA" w:rsidP="00C377E0">
      <w:pPr>
        <w:autoSpaceDE w:val="0"/>
        <w:autoSpaceDN w:val="0"/>
        <w:adjustRightInd w:val="0"/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F8">
        <w:rPr>
          <w:rFonts w:ascii="Times New Roman" w:hAnsi="Times New Roman" w:cs="Times New Roman"/>
          <w:sz w:val="24"/>
          <w:szCs w:val="24"/>
        </w:rPr>
        <w:t xml:space="preserve">Foram </w:t>
      </w:r>
      <w:r w:rsidR="009D4608" w:rsidRPr="00577DF8">
        <w:rPr>
          <w:rFonts w:ascii="Times New Roman" w:hAnsi="Times New Roman" w:cs="Times New Roman"/>
          <w:sz w:val="24"/>
          <w:szCs w:val="24"/>
        </w:rPr>
        <w:t xml:space="preserve">aferidas </w:t>
      </w:r>
      <w:r w:rsidR="0095318F" w:rsidRPr="00577DF8">
        <w:rPr>
          <w:rFonts w:ascii="Times New Roman" w:hAnsi="Times New Roman" w:cs="Times New Roman"/>
          <w:sz w:val="24"/>
          <w:szCs w:val="24"/>
        </w:rPr>
        <w:t>a</w:t>
      </w:r>
      <w:r w:rsidRPr="00577DF8">
        <w:rPr>
          <w:rFonts w:ascii="Times New Roman" w:hAnsi="Times New Roman" w:cs="Times New Roman"/>
          <w:sz w:val="24"/>
          <w:szCs w:val="24"/>
        </w:rPr>
        <w:t xml:space="preserve">s </w:t>
      </w:r>
      <w:r w:rsidR="0095318F" w:rsidRPr="00577DF8">
        <w:rPr>
          <w:rFonts w:ascii="Times New Roman" w:hAnsi="Times New Roman" w:cs="Times New Roman"/>
          <w:sz w:val="24"/>
          <w:szCs w:val="24"/>
        </w:rPr>
        <w:t>medidas de</w:t>
      </w:r>
      <w:r w:rsidRPr="00577DF8">
        <w:rPr>
          <w:rFonts w:ascii="Times New Roman" w:hAnsi="Times New Roman" w:cs="Times New Roman"/>
          <w:sz w:val="24"/>
          <w:szCs w:val="24"/>
        </w:rPr>
        <w:t xml:space="preserve"> peso, altura do joelho (AJ), circunferência do braço (CB), circunferência da panturrilha (CP), prega cutânea </w:t>
      </w:r>
      <w:proofErr w:type="spellStart"/>
      <w:r w:rsidRPr="00577DF8">
        <w:rPr>
          <w:rFonts w:ascii="Times New Roman" w:hAnsi="Times New Roman" w:cs="Times New Roman"/>
          <w:sz w:val="24"/>
          <w:szCs w:val="24"/>
        </w:rPr>
        <w:t>tripicipal</w:t>
      </w:r>
      <w:proofErr w:type="spellEnd"/>
      <w:r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95318F" w:rsidRPr="00577DF8">
        <w:rPr>
          <w:rFonts w:ascii="Times New Roman" w:hAnsi="Times New Roman" w:cs="Times New Roman"/>
          <w:sz w:val="24"/>
          <w:szCs w:val="24"/>
        </w:rPr>
        <w:t>(</w:t>
      </w:r>
      <w:r w:rsidRPr="00577DF8">
        <w:rPr>
          <w:rFonts w:ascii="Times New Roman" w:hAnsi="Times New Roman" w:cs="Times New Roman"/>
          <w:sz w:val="24"/>
          <w:szCs w:val="24"/>
        </w:rPr>
        <w:t>PCT</w:t>
      </w:r>
      <w:r w:rsidR="0095318F" w:rsidRPr="00577DF8">
        <w:rPr>
          <w:rFonts w:ascii="Times New Roman" w:hAnsi="Times New Roman" w:cs="Times New Roman"/>
          <w:sz w:val="24"/>
          <w:szCs w:val="24"/>
        </w:rPr>
        <w:t>)</w:t>
      </w:r>
      <w:r w:rsidR="00A52E0B" w:rsidRPr="00577DF8">
        <w:rPr>
          <w:rFonts w:ascii="Times New Roman" w:hAnsi="Times New Roman" w:cs="Times New Roman"/>
          <w:sz w:val="24"/>
          <w:szCs w:val="24"/>
        </w:rPr>
        <w:t>, segundo as</w:t>
      </w:r>
      <w:r w:rsidR="0095318F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A52E0B" w:rsidRPr="00577DF8">
        <w:rPr>
          <w:rFonts w:ascii="Times New Roman" w:hAnsi="Times New Roman" w:cs="Times New Roman"/>
          <w:sz w:val="24"/>
          <w:szCs w:val="24"/>
        </w:rPr>
        <w:t xml:space="preserve">técnicas padronizadas propostas por </w:t>
      </w:r>
      <w:proofErr w:type="spellStart"/>
      <w:r w:rsidR="00A52E0B" w:rsidRPr="00577DF8">
        <w:rPr>
          <w:rFonts w:ascii="Times New Roman" w:hAnsi="Times New Roman" w:cs="Times New Roman"/>
          <w:sz w:val="24"/>
          <w:szCs w:val="24"/>
        </w:rPr>
        <w:t>Lohman</w:t>
      </w:r>
      <w:proofErr w:type="spellEnd"/>
      <w:r w:rsidR="00A52E0B" w:rsidRPr="00577DF8">
        <w:rPr>
          <w:rFonts w:ascii="Times New Roman" w:hAnsi="Times New Roman" w:cs="Times New Roman"/>
          <w:sz w:val="24"/>
          <w:szCs w:val="24"/>
        </w:rPr>
        <w:t xml:space="preserve"> et al. (1988), </w:t>
      </w:r>
      <w:r w:rsidRPr="00577DF8">
        <w:rPr>
          <w:rFonts w:ascii="Times New Roman" w:hAnsi="Times New Roman" w:cs="Times New Roman"/>
          <w:sz w:val="24"/>
          <w:szCs w:val="24"/>
        </w:rPr>
        <w:t xml:space="preserve">e a espessura do músculo adutor do polegar (EMAP). </w:t>
      </w:r>
      <w:r w:rsidR="009D4608" w:rsidRPr="00577DF8">
        <w:rPr>
          <w:rFonts w:ascii="Times New Roman" w:hAnsi="Times New Roman" w:cs="Times New Roman"/>
          <w:sz w:val="24"/>
          <w:szCs w:val="24"/>
        </w:rPr>
        <w:t>As medidas de circunferências foram obtidas através de uma fita métrica inelástica</w:t>
      </w:r>
      <w:r w:rsidR="00A52E0B" w:rsidRPr="00577DF8">
        <w:rPr>
          <w:rFonts w:ascii="Times New Roman" w:hAnsi="Times New Roman" w:cs="Times New Roman"/>
          <w:sz w:val="24"/>
          <w:szCs w:val="24"/>
        </w:rPr>
        <w:t xml:space="preserve">. </w:t>
      </w:r>
      <w:r w:rsidR="009D4608" w:rsidRPr="00577DF8">
        <w:rPr>
          <w:rFonts w:ascii="Times New Roman" w:hAnsi="Times New Roman" w:cs="Times New Roman"/>
          <w:sz w:val="24"/>
          <w:szCs w:val="24"/>
        </w:rPr>
        <w:t xml:space="preserve">A altura foi estimada a partir da AJ, conforme equação proposta por </w:t>
      </w:r>
      <w:proofErr w:type="spellStart"/>
      <w:r w:rsidR="009D4608" w:rsidRPr="00577DF8">
        <w:rPr>
          <w:rFonts w:ascii="Times New Roman" w:hAnsi="Times New Roman" w:cs="Times New Roman"/>
          <w:sz w:val="24"/>
          <w:szCs w:val="24"/>
        </w:rPr>
        <w:t>Chumlea</w:t>
      </w:r>
      <w:proofErr w:type="spellEnd"/>
      <w:r w:rsidR="009D4608" w:rsidRPr="00577DF8">
        <w:rPr>
          <w:rFonts w:ascii="Times New Roman" w:hAnsi="Times New Roman" w:cs="Times New Roman"/>
          <w:sz w:val="24"/>
          <w:szCs w:val="24"/>
        </w:rPr>
        <w:t xml:space="preserve"> et al. (1985).</w:t>
      </w:r>
    </w:p>
    <w:p w14:paraId="3C2A81CE" w14:textId="4B218C4D" w:rsidR="009A7FEA" w:rsidRPr="00577DF8" w:rsidRDefault="009A7FEA" w:rsidP="00C377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95318F" w:rsidRPr="00577DF8">
        <w:rPr>
          <w:rFonts w:ascii="Times New Roman" w:hAnsi="Times New Roman" w:cs="Times New Roman"/>
          <w:sz w:val="24"/>
          <w:szCs w:val="24"/>
        </w:rPr>
        <w:t xml:space="preserve">Os indicadores nutricionais avaliados foram a </w:t>
      </w:r>
      <w:r w:rsidR="009D4608" w:rsidRPr="00577DF8">
        <w:rPr>
          <w:rFonts w:ascii="Times New Roman" w:hAnsi="Times New Roman" w:cs="Times New Roman"/>
          <w:sz w:val="24"/>
          <w:szCs w:val="24"/>
        </w:rPr>
        <w:t xml:space="preserve">CB e a </w:t>
      </w:r>
      <w:r w:rsidRPr="00577DF8">
        <w:rPr>
          <w:rFonts w:ascii="Times New Roman" w:hAnsi="Times New Roman" w:cs="Times New Roman"/>
          <w:sz w:val="24"/>
          <w:szCs w:val="24"/>
        </w:rPr>
        <w:t>circunferência muscular do braço (CMB)</w:t>
      </w:r>
      <w:r w:rsidR="009D4608" w:rsidRPr="00577DF8">
        <w:rPr>
          <w:rFonts w:ascii="Times New Roman" w:hAnsi="Times New Roman" w:cs="Times New Roman"/>
          <w:sz w:val="24"/>
          <w:szCs w:val="24"/>
        </w:rPr>
        <w:t>,</w:t>
      </w:r>
      <w:r w:rsidR="0095318F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9D4608" w:rsidRPr="00577DF8">
        <w:rPr>
          <w:rFonts w:ascii="Times New Roman" w:hAnsi="Times New Roman" w:cs="Times New Roman"/>
          <w:sz w:val="24"/>
          <w:szCs w:val="24"/>
        </w:rPr>
        <w:t xml:space="preserve">classificadas em risco nutricional/desnutrição quando valor igual ou menor ao percentil 25 (P25), segundo sexo e faixa etária dos idosos, conforme </w:t>
      </w:r>
      <w:r w:rsidRPr="00577DF8">
        <w:rPr>
          <w:rFonts w:ascii="Times New Roman" w:hAnsi="Times New Roman" w:cs="Times New Roman"/>
          <w:sz w:val="24"/>
          <w:szCs w:val="24"/>
        </w:rPr>
        <w:t xml:space="preserve">proposto pela </w:t>
      </w:r>
      <w:proofErr w:type="spellStart"/>
      <w:r w:rsidRPr="00577DF8">
        <w:rPr>
          <w:rFonts w:ascii="Times New Roman" w:hAnsi="Times New Roman" w:cs="Times New Roman"/>
          <w:i/>
          <w:iCs/>
          <w:sz w:val="24"/>
          <w:szCs w:val="24"/>
        </w:rPr>
        <w:t>Third</w:t>
      </w:r>
      <w:proofErr w:type="spellEnd"/>
      <w:r w:rsidRPr="00577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7DF8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577DF8">
        <w:rPr>
          <w:rFonts w:ascii="Times New Roman" w:hAnsi="Times New Roman" w:cs="Times New Roman"/>
          <w:i/>
          <w:iCs/>
          <w:sz w:val="24"/>
          <w:szCs w:val="24"/>
        </w:rPr>
        <w:t xml:space="preserve"> Health </w:t>
      </w:r>
      <w:proofErr w:type="spellStart"/>
      <w:r w:rsidRPr="00577DF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577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7DF8">
        <w:rPr>
          <w:rFonts w:ascii="Times New Roman" w:hAnsi="Times New Roman" w:cs="Times New Roman"/>
          <w:i/>
          <w:iCs/>
          <w:sz w:val="24"/>
          <w:szCs w:val="24"/>
        </w:rPr>
        <w:t>Nutrition</w:t>
      </w:r>
      <w:proofErr w:type="spellEnd"/>
      <w:r w:rsidRPr="00577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7DF8">
        <w:rPr>
          <w:rFonts w:ascii="Times New Roman" w:hAnsi="Times New Roman" w:cs="Times New Roman"/>
          <w:i/>
          <w:iCs/>
          <w:sz w:val="24"/>
          <w:szCs w:val="24"/>
        </w:rPr>
        <w:t>Examination</w:t>
      </w:r>
      <w:proofErr w:type="spellEnd"/>
      <w:r w:rsidRPr="00577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7DF8">
        <w:rPr>
          <w:rFonts w:ascii="Times New Roman" w:hAnsi="Times New Roman" w:cs="Times New Roman"/>
          <w:i/>
          <w:iCs/>
          <w:sz w:val="24"/>
          <w:szCs w:val="24"/>
        </w:rPr>
        <w:t>Survey</w:t>
      </w:r>
      <w:proofErr w:type="spellEnd"/>
      <w:r w:rsidRPr="00577DF8">
        <w:rPr>
          <w:rFonts w:ascii="Times New Roman" w:hAnsi="Times New Roman" w:cs="Times New Roman"/>
          <w:sz w:val="24"/>
          <w:szCs w:val="24"/>
        </w:rPr>
        <w:t xml:space="preserve"> (</w:t>
      </w:r>
      <w:r w:rsidR="009D4608" w:rsidRPr="00577DF8">
        <w:rPr>
          <w:rFonts w:ascii="Times New Roman" w:hAnsi="Times New Roman" w:cs="Times New Roman"/>
          <w:sz w:val="24"/>
          <w:szCs w:val="24"/>
        </w:rPr>
        <w:t>1988-1994</w:t>
      </w:r>
      <w:r w:rsidRPr="00577DF8">
        <w:rPr>
          <w:rFonts w:ascii="Times New Roman" w:hAnsi="Times New Roman" w:cs="Times New Roman"/>
          <w:sz w:val="24"/>
          <w:szCs w:val="24"/>
        </w:rPr>
        <w:t>)</w:t>
      </w:r>
      <w:r w:rsidR="009D4608" w:rsidRPr="00577DF8">
        <w:rPr>
          <w:rFonts w:ascii="Times New Roman" w:hAnsi="Times New Roman" w:cs="Times New Roman"/>
          <w:sz w:val="24"/>
          <w:szCs w:val="24"/>
        </w:rPr>
        <w:t>. O</w:t>
      </w:r>
      <w:r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9D4608" w:rsidRPr="00577DF8">
        <w:rPr>
          <w:rFonts w:ascii="Times New Roman" w:hAnsi="Times New Roman" w:cs="Times New Roman"/>
          <w:sz w:val="24"/>
          <w:szCs w:val="24"/>
        </w:rPr>
        <w:t>índice de massa corporal</w:t>
      </w:r>
      <w:r w:rsidRPr="00577DF8">
        <w:rPr>
          <w:rFonts w:ascii="Times New Roman" w:hAnsi="Times New Roman" w:cs="Times New Roman"/>
          <w:sz w:val="24"/>
          <w:szCs w:val="24"/>
        </w:rPr>
        <w:t xml:space="preserve"> (IMC)</w:t>
      </w:r>
      <w:r w:rsidR="009D4608" w:rsidRPr="00577DF8">
        <w:rPr>
          <w:rFonts w:ascii="Times New Roman" w:hAnsi="Times New Roman" w:cs="Times New Roman"/>
          <w:sz w:val="24"/>
          <w:szCs w:val="24"/>
        </w:rPr>
        <w:t xml:space="preserve"> foi </w:t>
      </w:r>
      <w:r w:rsidRPr="00577DF8">
        <w:rPr>
          <w:rFonts w:ascii="Times New Roman" w:hAnsi="Times New Roman" w:cs="Times New Roman"/>
          <w:sz w:val="24"/>
          <w:szCs w:val="24"/>
        </w:rPr>
        <w:t>classificado segundo o ponto de corte da SABE/OPAS (2002).</w:t>
      </w:r>
    </w:p>
    <w:p w14:paraId="426531F7" w14:textId="1B443EC1" w:rsidR="00D53EC5" w:rsidRPr="00C9525B" w:rsidRDefault="004C1603" w:rsidP="00C377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CP foi classificada a partir de v</w:t>
      </w:r>
      <w:r w:rsidR="009A7FEA" w:rsidRPr="00577DF8">
        <w:rPr>
          <w:rFonts w:ascii="Times New Roman" w:hAnsi="Times New Roman" w:cs="Times New Roman"/>
          <w:sz w:val="24"/>
          <w:szCs w:val="24"/>
        </w:rPr>
        <w:t xml:space="preserve">alores </w:t>
      </w:r>
      <w:r w:rsidR="00A52E0B" w:rsidRPr="00577DF8">
        <w:rPr>
          <w:rFonts w:ascii="Times New Roman" w:hAnsi="Times New Roman" w:cs="Times New Roman"/>
          <w:sz w:val="24"/>
          <w:szCs w:val="24"/>
        </w:rPr>
        <w:t xml:space="preserve">inferiores a </w:t>
      </w:r>
      <w:r w:rsidR="009A7FEA" w:rsidRPr="00577DF8">
        <w:rPr>
          <w:rFonts w:ascii="Times New Roman" w:hAnsi="Times New Roman" w:cs="Times New Roman"/>
          <w:sz w:val="24"/>
          <w:szCs w:val="24"/>
        </w:rPr>
        <w:t>34cm para homens e 33cm para mulheres foram considerados indicativos de redução de massa muscular</w:t>
      </w:r>
      <w:r w:rsidR="00A22DDD" w:rsidRPr="00577DF8">
        <w:rPr>
          <w:rFonts w:ascii="Times New Roman" w:hAnsi="Times New Roman" w:cs="Times New Roman"/>
          <w:sz w:val="24"/>
          <w:szCs w:val="24"/>
        </w:rPr>
        <w:t xml:space="preserve"> (BARBOSA-SILVA </w:t>
      </w:r>
      <w:r w:rsidR="009A7FEA" w:rsidRPr="00577DF8">
        <w:rPr>
          <w:rFonts w:ascii="Times New Roman" w:hAnsi="Times New Roman" w:cs="Times New Roman"/>
          <w:sz w:val="24"/>
          <w:szCs w:val="24"/>
        </w:rPr>
        <w:t>et al.</w:t>
      </w:r>
      <w:r w:rsidR="00A22DDD" w:rsidRPr="00577DF8">
        <w:rPr>
          <w:rFonts w:ascii="Times New Roman" w:hAnsi="Times New Roman" w:cs="Times New Roman"/>
          <w:sz w:val="24"/>
          <w:szCs w:val="24"/>
        </w:rPr>
        <w:t xml:space="preserve">; </w:t>
      </w:r>
      <w:r w:rsidR="009A7FEA" w:rsidRPr="00577DF8">
        <w:rPr>
          <w:rFonts w:ascii="Times New Roman" w:hAnsi="Times New Roman" w:cs="Times New Roman"/>
          <w:sz w:val="24"/>
          <w:szCs w:val="24"/>
        </w:rPr>
        <w:t>201</w:t>
      </w:r>
      <w:r w:rsidR="00A52E0B" w:rsidRPr="00577DF8">
        <w:rPr>
          <w:rFonts w:ascii="Times New Roman" w:hAnsi="Times New Roman" w:cs="Times New Roman"/>
          <w:sz w:val="24"/>
          <w:szCs w:val="24"/>
        </w:rPr>
        <w:t>6</w:t>
      </w:r>
      <w:r w:rsidR="009A7FEA" w:rsidRPr="00577DF8">
        <w:rPr>
          <w:rFonts w:ascii="Times New Roman" w:hAnsi="Times New Roman" w:cs="Times New Roman"/>
          <w:sz w:val="24"/>
          <w:szCs w:val="24"/>
        </w:rPr>
        <w:t>).</w:t>
      </w:r>
    </w:p>
    <w:p w14:paraId="1B5F9F79" w14:textId="15F84769" w:rsidR="00B63EAA" w:rsidRPr="00C377E0" w:rsidRDefault="00B63EAA" w:rsidP="00C377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F8">
        <w:rPr>
          <w:rFonts w:ascii="Times New Roman" w:hAnsi="Times New Roman" w:cs="Times New Roman"/>
          <w:sz w:val="24"/>
          <w:szCs w:val="24"/>
        </w:rPr>
        <w:t>A EMAP foi</w:t>
      </w:r>
      <w:r w:rsidR="006164D1" w:rsidRPr="00577DF8">
        <w:rPr>
          <w:rFonts w:ascii="Times New Roman" w:hAnsi="Times New Roman" w:cs="Times New Roman"/>
          <w:sz w:val="24"/>
          <w:szCs w:val="24"/>
        </w:rPr>
        <w:t xml:space="preserve"> obtida utilizando um </w:t>
      </w:r>
      <w:proofErr w:type="spellStart"/>
      <w:r w:rsidR="006164D1" w:rsidRPr="00577DF8">
        <w:rPr>
          <w:rFonts w:ascii="Times New Roman" w:hAnsi="Times New Roman" w:cs="Times New Roman"/>
          <w:sz w:val="24"/>
          <w:szCs w:val="24"/>
        </w:rPr>
        <w:t>adipômetro</w:t>
      </w:r>
      <w:proofErr w:type="spellEnd"/>
      <w:r w:rsidR="006164D1" w:rsidRPr="00577DF8">
        <w:rPr>
          <w:rFonts w:ascii="Times New Roman" w:hAnsi="Times New Roman" w:cs="Times New Roman"/>
          <w:sz w:val="24"/>
          <w:szCs w:val="24"/>
        </w:rPr>
        <w:t xml:space="preserve"> com pressão constante de 10 g/mm². A medida foi aferida no </w:t>
      </w:r>
      <w:r w:rsidRPr="00577DF8">
        <w:rPr>
          <w:rFonts w:ascii="Times New Roman" w:hAnsi="Times New Roman" w:cs="Times New Roman"/>
          <w:sz w:val="24"/>
          <w:szCs w:val="24"/>
        </w:rPr>
        <w:t xml:space="preserve">paciente sentado, com o braço flexionado a aproximadamente 90°, o antebraço e a mão apoiados sobre o joelho. </w:t>
      </w:r>
      <w:r w:rsidR="00BB180C" w:rsidRPr="00577DF8">
        <w:rPr>
          <w:rFonts w:ascii="Times New Roman" w:hAnsi="Times New Roman" w:cs="Times New Roman"/>
          <w:sz w:val="24"/>
          <w:szCs w:val="24"/>
        </w:rPr>
        <w:t xml:space="preserve"> A EMAP </w:t>
      </w:r>
      <w:r w:rsidR="006164D1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foi </w:t>
      </w:r>
      <w:r w:rsidR="00BB180C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pinçado </w:t>
      </w:r>
      <w:r w:rsidR="006164D1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com o </w:t>
      </w:r>
      <w:r w:rsidR="00BB180C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adipômetro </w:t>
      </w:r>
      <w:r w:rsidR="006164D1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no vértice de um triângulo imaginário formado </w:t>
      </w:r>
      <w:r w:rsidRPr="00577DF8">
        <w:rPr>
          <w:rFonts w:ascii="Times New Roman" w:hAnsi="Times New Roman" w:cs="Times New Roman"/>
          <w:sz w:val="24"/>
          <w:szCs w:val="24"/>
        </w:rPr>
        <w:t>pela extensão do polegar e indicador (L</w:t>
      </w:r>
      <w:r w:rsidR="00BB180C" w:rsidRPr="00577DF8">
        <w:rPr>
          <w:rFonts w:ascii="Times New Roman" w:hAnsi="Times New Roman" w:cs="Times New Roman"/>
          <w:sz w:val="24"/>
          <w:szCs w:val="24"/>
        </w:rPr>
        <w:t>AMEU</w:t>
      </w:r>
      <w:r w:rsidRPr="00577DF8">
        <w:rPr>
          <w:rFonts w:ascii="Times New Roman" w:hAnsi="Times New Roman" w:cs="Times New Roman"/>
          <w:sz w:val="24"/>
          <w:szCs w:val="24"/>
        </w:rPr>
        <w:t xml:space="preserve"> et al., 2004</w:t>
      </w:r>
      <w:r w:rsidR="003728C6">
        <w:rPr>
          <w:rFonts w:ascii="Times New Roman" w:hAnsi="Times New Roman" w:cs="Times New Roman"/>
          <w:sz w:val="24"/>
          <w:szCs w:val="24"/>
        </w:rPr>
        <w:t>a</w:t>
      </w:r>
      <w:r w:rsidRPr="00577DF8">
        <w:rPr>
          <w:rFonts w:ascii="Times New Roman" w:hAnsi="Times New Roman" w:cs="Times New Roman"/>
          <w:sz w:val="24"/>
          <w:szCs w:val="24"/>
        </w:rPr>
        <w:t>)</w:t>
      </w:r>
      <w:r w:rsidR="00BB180C" w:rsidRPr="00577DF8">
        <w:rPr>
          <w:rFonts w:ascii="Times New Roman" w:hAnsi="Times New Roman" w:cs="Times New Roman"/>
          <w:sz w:val="24"/>
          <w:szCs w:val="24"/>
        </w:rPr>
        <w:t>, sendo o p</w:t>
      </w:r>
      <w:r w:rsidRPr="00577DF8">
        <w:rPr>
          <w:rFonts w:ascii="Times New Roman" w:hAnsi="Times New Roman" w:cs="Times New Roman"/>
          <w:sz w:val="24"/>
          <w:szCs w:val="24"/>
        </w:rPr>
        <w:t xml:space="preserve">rocedimento </w:t>
      </w:r>
      <w:r w:rsidR="00BB180C" w:rsidRPr="00577DF8">
        <w:rPr>
          <w:rFonts w:ascii="Times New Roman" w:hAnsi="Times New Roman" w:cs="Times New Roman"/>
          <w:sz w:val="24"/>
          <w:szCs w:val="24"/>
        </w:rPr>
        <w:t xml:space="preserve">realizado </w:t>
      </w:r>
      <w:r w:rsidRPr="00577DF8">
        <w:rPr>
          <w:rFonts w:ascii="Times New Roman" w:hAnsi="Times New Roman" w:cs="Times New Roman"/>
          <w:sz w:val="24"/>
          <w:szCs w:val="24"/>
        </w:rPr>
        <w:t>na mão dominant</w:t>
      </w:r>
      <w:r w:rsidR="00BB180C" w:rsidRPr="00577DF8">
        <w:rPr>
          <w:rFonts w:ascii="Times New Roman" w:hAnsi="Times New Roman" w:cs="Times New Roman"/>
          <w:sz w:val="24"/>
          <w:szCs w:val="24"/>
        </w:rPr>
        <w:t xml:space="preserve">e, sendo </w:t>
      </w:r>
      <w:r w:rsidR="00BB180C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medido na mão direita de </w:t>
      </w:r>
      <w:r w:rsidR="00BB180C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lastRenderedPageBreak/>
        <w:t>indivíduos destros e na mão esquerda de indivíduos canhotos (VON HAEHLING et al</w:t>
      </w:r>
      <w:r w:rsidR="00A22DDD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>.</w:t>
      </w:r>
      <w:r w:rsidR="00BB180C" w:rsidRPr="00577DF8">
        <w:rPr>
          <w:rStyle w:val="tlid-translation"/>
          <w:rFonts w:ascii="Times New Roman" w:hAnsi="Times New Roman" w:cs="Times New Roman"/>
          <w:sz w:val="24"/>
          <w:szCs w:val="24"/>
          <w:lang w:val="pt-PT"/>
        </w:rPr>
        <w:t xml:space="preserve">, 2013), </w:t>
      </w:r>
      <w:r w:rsidRPr="00577DF8">
        <w:rPr>
          <w:rFonts w:ascii="Times New Roman" w:hAnsi="Times New Roman" w:cs="Times New Roman"/>
          <w:sz w:val="24"/>
          <w:szCs w:val="24"/>
        </w:rPr>
        <w:t xml:space="preserve">por três vezes, sendo usada a média. </w:t>
      </w:r>
      <w:bookmarkStart w:id="6" w:name="_Hlk50996130"/>
      <w:r w:rsidR="002E2EB7" w:rsidRPr="00577DF8">
        <w:rPr>
          <w:rFonts w:ascii="Times New Roman" w:hAnsi="Times New Roman" w:cs="Times New Roman"/>
          <w:sz w:val="24"/>
          <w:szCs w:val="24"/>
        </w:rPr>
        <w:t>Para classificação da EMAP</w:t>
      </w:r>
      <w:r w:rsidR="00F473ED" w:rsidRPr="00577DF8">
        <w:rPr>
          <w:rFonts w:ascii="Times New Roman" w:hAnsi="Times New Roman" w:cs="Times New Roman"/>
          <w:sz w:val="24"/>
          <w:szCs w:val="24"/>
        </w:rPr>
        <w:t xml:space="preserve">, se considerou o </w:t>
      </w:r>
      <w:r w:rsidR="002E2EB7" w:rsidRPr="00577DF8">
        <w:rPr>
          <w:rFonts w:ascii="Times New Roman" w:hAnsi="Times New Roman" w:cs="Times New Roman"/>
          <w:sz w:val="24"/>
          <w:szCs w:val="24"/>
        </w:rPr>
        <w:t>valor do percentil 25 (P25</w:t>
      </w:r>
      <w:r w:rsidR="00F473ED" w:rsidRPr="00577DF8">
        <w:rPr>
          <w:rFonts w:ascii="Times New Roman" w:hAnsi="Times New Roman" w:cs="Times New Roman"/>
          <w:sz w:val="24"/>
          <w:szCs w:val="24"/>
        </w:rPr>
        <w:t xml:space="preserve"> = 9 mm</w:t>
      </w:r>
      <w:r w:rsidR="002E2EB7" w:rsidRPr="00577DF8">
        <w:rPr>
          <w:rFonts w:ascii="Times New Roman" w:hAnsi="Times New Roman" w:cs="Times New Roman"/>
          <w:sz w:val="24"/>
          <w:szCs w:val="24"/>
        </w:rPr>
        <w:t>) da amostra</w:t>
      </w:r>
      <w:r w:rsidR="00F473ED" w:rsidRPr="00577DF8">
        <w:rPr>
          <w:rFonts w:ascii="Times New Roman" w:hAnsi="Times New Roman" w:cs="Times New Roman"/>
          <w:sz w:val="24"/>
          <w:szCs w:val="24"/>
        </w:rPr>
        <w:t xml:space="preserve"> </w:t>
      </w:r>
      <w:r w:rsidR="002E2EB7" w:rsidRPr="00577DF8">
        <w:rPr>
          <w:rFonts w:ascii="Times New Roman" w:hAnsi="Times New Roman" w:cs="Times New Roman"/>
          <w:sz w:val="24"/>
          <w:szCs w:val="24"/>
        </w:rPr>
        <w:t>para</w:t>
      </w:r>
      <w:r w:rsidR="00F473ED" w:rsidRPr="00577DF8">
        <w:rPr>
          <w:rFonts w:ascii="Times New Roman" w:hAnsi="Times New Roman" w:cs="Times New Roman"/>
          <w:sz w:val="24"/>
          <w:szCs w:val="24"/>
        </w:rPr>
        <w:t xml:space="preserve"> identificar o risco nutricional.</w:t>
      </w:r>
    </w:p>
    <w:bookmarkEnd w:id="6"/>
    <w:p w14:paraId="672E002E" w14:textId="003D7C28" w:rsidR="00E80714" w:rsidRPr="00664579" w:rsidRDefault="00577DF8" w:rsidP="00C9525B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579">
        <w:rPr>
          <w:rFonts w:ascii="Times New Roman" w:hAnsi="Times New Roman" w:cs="Times New Roman"/>
          <w:i/>
          <w:sz w:val="24"/>
          <w:szCs w:val="24"/>
        </w:rPr>
        <w:t xml:space="preserve">2.3 </w:t>
      </w:r>
      <w:r w:rsidR="00664579" w:rsidRPr="00664579">
        <w:rPr>
          <w:rFonts w:ascii="Times New Roman" w:hAnsi="Times New Roman" w:cs="Times New Roman"/>
          <w:i/>
          <w:sz w:val="24"/>
          <w:szCs w:val="24"/>
        </w:rPr>
        <w:t>Análise Estatística</w:t>
      </w:r>
    </w:p>
    <w:p w14:paraId="65281016" w14:textId="2ECEC67E" w:rsidR="00CF4AF5" w:rsidRPr="00577DF8" w:rsidRDefault="00A52E0B" w:rsidP="00C952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F8">
        <w:rPr>
          <w:rFonts w:ascii="Times New Roman" w:hAnsi="Times New Roman" w:cs="Times New Roman"/>
          <w:sz w:val="24"/>
          <w:szCs w:val="24"/>
        </w:rPr>
        <w:t xml:space="preserve">Foi utilizado o </w:t>
      </w:r>
      <w:r w:rsidR="00B63EAA" w:rsidRPr="00577DF8"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r w:rsidR="00B63EAA" w:rsidRPr="00577DF8">
        <w:rPr>
          <w:rFonts w:ascii="Times New Roman" w:hAnsi="Times New Roman" w:cs="Times New Roman"/>
          <w:sz w:val="24"/>
          <w:szCs w:val="24"/>
        </w:rPr>
        <w:t>SPSS®, versão 20.0</w:t>
      </w:r>
      <w:r w:rsidRPr="00577DF8">
        <w:rPr>
          <w:rFonts w:ascii="Times New Roman" w:hAnsi="Times New Roman" w:cs="Times New Roman"/>
          <w:sz w:val="24"/>
          <w:szCs w:val="24"/>
        </w:rPr>
        <w:t xml:space="preserve">. </w:t>
      </w:r>
      <w:r w:rsidR="00B63EAA" w:rsidRPr="00577DF8">
        <w:rPr>
          <w:rFonts w:ascii="Times New Roman" w:hAnsi="Times New Roman" w:cs="Times New Roman"/>
          <w:sz w:val="24"/>
          <w:szCs w:val="24"/>
        </w:rPr>
        <w:t xml:space="preserve">Para caracterizar a amostra, as variáveis foram expressas em medidas de tendência central e dispersão, </w:t>
      </w:r>
      <w:r w:rsidR="00C57776" w:rsidRPr="00577DF8">
        <w:rPr>
          <w:rFonts w:ascii="Times New Roman" w:hAnsi="Times New Roman" w:cs="Times New Roman"/>
          <w:sz w:val="24"/>
          <w:szCs w:val="24"/>
        </w:rPr>
        <w:t>assim como a frequência absoluta e relativa das variáveis categóricas</w:t>
      </w:r>
      <w:r w:rsidR="00B63EAA" w:rsidRPr="00577DF8">
        <w:rPr>
          <w:rFonts w:ascii="Times New Roman" w:hAnsi="Times New Roman" w:cs="Times New Roman"/>
          <w:sz w:val="24"/>
          <w:szCs w:val="24"/>
        </w:rPr>
        <w:t xml:space="preserve">. </w:t>
      </w:r>
      <w:r w:rsidR="00CF4AF5" w:rsidRPr="00577DF8">
        <w:rPr>
          <w:rFonts w:ascii="Times New Roman" w:hAnsi="Times New Roman" w:cs="Times New Roman"/>
          <w:sz w:val="24"/>
          <w:szCs w:val="24"/>
        </w:rPr>
        <w:t xml:space="preserve">A normalidade das variáveis quantitativas foi testada usando o teste de </w:t>
      </w:r>
      <w:proofErr w:type="spellStart"/>
      <w:r w:rsidR="00CF4AF5" w:rsidRPr="00577DF8">
        <w:rPr>
          <w:rFonts w:ascii="Times New Roman" w:hAnsi="Times New Roman" w:cs="Times New Roman"/>
          <w:sz w:val="24"/>
          <w:szCs w:val="24"/>
        </w:rPr>
        <w:t>Kolmogorov-Smirnov</w:t>
      </w:r>
      <w:proofErr w:type="spellEnd"/>
      <w:r w:rsidR="00CF4AF5" w:rsidRPr="00577DF8">
        <w:rPr>
          <w:rFonts w:ascii="Times New Roman" w:hAnsi="Times New Roman" w:cs="Times New Roman"/>
          <w:sz w:val="24"/>
          <w:szCs w:val="24"/>
        </w:rPr>
        <w:t>.</w:t>
      </w:r>
      <w:r w:rsidR="00B0130F">
        <w:rPr>
          <w:rFonts w:ascii="Times New Roman" w:hAnsi="Times New Roman" w:cs="Times New Roman"/>
          <w:sz w:val="24"/>
          <w:szCs w:val="24"/>
        </w:rPr>
        <w:t xml:space="preserve"> </w:t>
      </w:r>
      <w:r w:rsidR="00CF4AF5" w:rsidRPr="00577DF8">
        <w:rPr>
          <w:rFonts w:ascii="Times New Roman" w:hAnsi="Times New Roman" w:cs="Times New Roman"/>
          <w:sz w:val="24"/>
          <w:szCs w:val="24"/>
        </w:rPr>
        <w:t xml:space="preserve">A Correlação de Pearson foi utilizada para avaliar a correlação entre a EMAP e os indicadores antropométricos.  </w:t>
      </w:r>
    </w:p>
    <w:p w14:paraId="5489F902" w14:textId="0A2CD9DD" w:rsidR="00A04CD3" w:rsidRPr="00577DF8" w:rsidRDefault="00577DF8" w:rsidP="00C9525B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9A7FEA" w:rsidRPr="00577DF8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2BCD22B4" w14:textId="5209A233" w:rsidR="009721E2" w:rsidRPr="00D53EC5" w:rsidRDefault="00E80714" w:rsidP="00C952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avaliados 159 idosos, </w:t>
      </w:r>
      <w:r w:rsidR="00D334EE"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>média de idade de 70</w:t>
      </w:r>
      <w:r w:rsidR="00350DF0"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>9 ±29</w:t>
      </w:r>
      <w:r w:rsidR="00350DF0"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>4 anos</w:t>
      </w:r>
      <w:r w:rsidR="00D334EE"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</w:t>
      </w:r>
      <w:r w:rsidR="007A4D88"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50,3% </w:t>
      </w:r>
      <w:r w:rsidR="00D334EE"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>do sexo feminino</w:t>
      </w:r>
      <w:r w:rsidRPr="0057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21E2" w:rsidRPr="00D53EC5">
        <w:rPr>
          <w:rFonts w:ascii="Times New Roman" w:hAnsi="Times New Roman" w:cs="Times New Roman"/>
          <w:sz w:val="24"/>
          <w:szCs w:val="24"/>
        </w:rPr>
        <w:t>Observou-se que 32,7% dos idosos tinham baixo peso, o risco nutricional/desnutrição foi de 56% quando avaliado pela classificação da CMB e 40,3% pela classificação da CB. A</w:t>
      </w:r>
      <w:r w:rsidR="0051107F" w:rsidRPr="00D53EC5">
        <w:rPr>
          <w:rFonts w:ascii="Times New Roman" w:hAnsi="Times New Roman" w:cs="Times New Roman"/>
          <w:sz w:val="24"/>
          <w:szCs w:val="24"/>
        </w:rPr>
        <w:t xml:space="preserve"> maioria dos idosos</w:t>
      </w:r>
      <w:r w:rsidR="008E7949" w:rsidRPr="00D53EC5">
        <w:rPr>
          <w:rFonts w:ascii="Times New Roman" w:hAnsi="Times New Roman" w:cs="Times New Roman"/>
          <w:sz w:val="24"/>
          <w:szCs w:val="24"/>
        </w:rPr>
        <w:t xml:space="preserve"> </w:t>
      </w:r>
      <w:r w:rsidR="0051107F" w:rsidRPr="00D53EC5">
        <w:rPr>
          <w:rFonts w:ascii="Times New Roman" w:hAnsi="Times New Roman" w:cs="Times New Roman"/>
          <w:sz w:val="24"/>
          <w:szCs w:val="24"/>
        </w:rPr>
        <w:t>apresentavam CP adequado</w:t>
      </w:r>
      <w:r w:rsidR="009721E2" w:rsidRPr="00D53EC5">
        <w:rPr>
          <w:rFonts w:ascii="Times New Roman" w:hAnsi="Times New Roman" w:cs="Times New Roman"/>
          <w:sz w:val="24"/>
          <w:szCs w:val="24"/>
        </w:rPr>
        <w:t xml:space="preserve"> (73,6%)</w:t>
      </w:r>
      <w:r w:rsidR="0051107F" w:rsidRPr="00D53EC5">
        <w:rPr>
          <w:rFonts w:ascii="Times New Roman" w:hAnsi="Times New Roman" w:cs="Times New Roman"/>
          <w:sz w:val="24"/>
          <w:szCs w:val="24"/>
        </w:rPr>
        <w:t xml:space="preserve">. </w:t>
      </w:r>
      <w:r w:rsidR="00D06ACE" w:rsidRPr="00D53EC5">
        <w:rPr>
          <w:rFonts w:ascii="Times New Roman" w:hAnsi="Times New Roman" w:cs="Times New Roman"/>
          <w:sz w:val="24"/>
          <w:szCs w:val="24"/>
        </w:rPr>
        <w:t>(Tabela 1)</w:t>
      </w:r>
    </w:p>
    <w:p w14:paraId="6524504A" w14:textId="51790BF9" w:rsidR="00A3398A" w:rsidRPr="00C377E0" w:rsidRDefault="00A3398A" w:rsidP="00C952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77E0">
        <w:rPr>
          <w:rFonts w:ascii="Times New Roman" w:hAnsi="Times New Roman" w:cs="Times New Roman"/>
          <w:b/>
          <w:sz w:val="20"/>
          <w:szCs w:val="20"/>
        </w:rPr>
        <w:t>Tabela 1.</w:t>
      </w:r>
      <w:r w:rsidRPr="00C377E0">
        <w:rPr>
          <w:rFonts w:ascii="Times New Roman" w:hAnsi="Times New Roman" w:cs="Times New Roman"/>
          <w:sz w:val="20"/>
          <w:szCs w:val="20"/>
        </w:rPr>
        <w:t xml:space="preserve"> </w:t>
      </w:r>
      <w:r w:rsidRPr="00C377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Características das variáveis idade e indicadores nutricionais dos idosos. 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1"/>
        <w:gridCol w:w="2671"/>
      </w:tblGrid>
      <w:tr w:rsidR="00B0130F" w:rsidRPr="00577DF8" w14:paraId="2B883BFC" w14:textId="77777777" w:rsidTr="00B0130F">
        <w:trPr>
          <w:trHeight w:val="372"/>
        </w:trPr>
        <w:tc>
          <w:tcPr>
            <w:tcW w:w="3528" w:type="pct"/>
            <w:vAlign w:val="center"/>
          </w:tcPr>
          <w:p w14:paraId="3D2908F7" w14:textId="77777777" w:rsidR="00B0130F" w:rsidRPr="00577DF8" w:rsidRDefault="00B0130F" w:rsidP="00C9525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77DF8">
              <w:rPr>
                <w:rFonts w:ascii="Times New Roman" w:hAnsi="Times New Roman" w:cs="Times New Roman"/>
                <w:b/>
                <w:bCs/>
              </w:rPr>
              <w:t>Variáveis</w:t>
            </w:r>
          </w:p>
        </w:tc>
        <w:tc>
          <w:tcPr>
            <w:tcW w:w="1472" w:type="pct"/>
          </w:tcPr>
          <w:p w14:paraId="6A49BCA7" w14:textId="7F0A0B1E" w:rsidR="00B0130F" w:rsidRPr="00577DF8" w:rsidRDefault="00B0130F" w:rsidP="00C95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7DF8">
              <w:rPr>
                <w:rFonts w:ascii="Times New Roman" w:hAnsi="Times New Roman" w:cs="Times New Roman"/>
                <w:b/>
              </w:rPr>
              <w:t xml:space="preserve">Amostra </w:t>
            </w:r>
            <w:r w:rsidR="009721E2" w:rsidRPr="00577DF8">
              <w:rPr>
                <w:rFonts w:ascii="Times New Roman" w:hAnsi="Times New Roman" w:cs="Times New Roman"/>
                <w:b/>
                <w:bCs/>
              </w:rPr>
              <w:t>(n=159)</w:t>
            </w:r>
          </w:p>
        </w:tc>
      </w:tr>
      <w:tr w:rsidR="00B0130F" w:rsidRPr="00577DF8" w14:paraId="7A3D31B0" w14:textId="77777777" w:rsidTr="00B0130F">
        <w:trPr>
          <w:trHeight w:val="372"/>
        </w:trPr>
        <w:tc>
          <w:tcPr>
            <w:tcW w:w="3528" w:type="pct"/>
            <w:tcBorders>
              <w:bottom w:val="nil"/>
            </w:tcBorders>
          </w:tcPr>
          <w:p w14:paraId="19FA8AB3" w14:textId="77777777" w:rsidR="00B0130F" w:rsidRPr="00577DF8" w:rsidRDefault="00B0130F" w:rsidP="00C9525B">
            <w:pPr>
              <w:rPr>
                <w:rFonts w:ascii="Times New Roman" w:hAnsi="Times New Roman" w:cs="Times New Roman"/>
                <w:b/>
              </w:rPr>
            </w:pPr>
            <w:r w:rsidRPr="00577DF8">
              <w:rPr>
                <w:rFonts w:ascii="Times New Roman" w:hAnsi="Times New Roman" w:cs="Times New Roman"/>
                <w:b/>
              </w:rPr>
              <w:t>Idade (anos), média (DP)</w:t>
            </w:r>
          </w:p>
        </w:tc>
        <w:tc>
          <w:tcPr>
            <w:tcW w:w="1472" w:type="pct"/>
            <w:tcBorders>
              <w:bottom w:val="nil"/>
            </w:tcBorders>
          </w:tcPr>
          <w:p w14:paraId="3BA7BC23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70,9 (29,4)</w:t>
            </w:r>
          </w:p>
        </w:tc>
      </w:tr>
      <w:tr w:rsidR="00B0130F" w:rsidRPr="00577DF8" w14:paraId="5B7EF25B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18A829EC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 xml:space="preserve">60-69 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065CF551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78 (49,1)</w:t>
            </w:r>
          </w:p>
        </w:tc>
      </w:tr>
      <w:tr w:rsidR="00B0130F" w:rsidRPr="00577DF8" w14:paraId="2C2C8560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30246A1F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 xml:space="preserve">70-79 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0007F1AB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56 (35,2)</w:t>
            </w:r>
          </w:p>
        </w:tc>
      </w:tr>
      <w:tr w:rsidR="00B0130F" w:rsidRPr="00577DF8" w14:paraId="083ABD3E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43058373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  <w:u w:val="single"/>
              </w:rPr>
              <w:t>&gt;</w:t>
            </w:r>
            <w:r w:rsidRPr="00577DF8">
              <w:rPr>
                <w:rFonts w:ascii="Times New Roman" w:hAnsi="Times New Roman" w:cs="Times New Roman"/>
              </w:rPr>
              <w:t xml:space="preserve"> 80 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4590A8DF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25 (15,7)</w:t>
            </w:r>
          </w:p>
        </w:tc>
      </w:tr>
      <w:tr w:rsidR="00B0130F" w:rsidRPr="00577DF8" w14:paraId="009CAF57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507AB9F5" w14:textId="77777777" w:rsidR="00B0130F" w:rsidRPr="00577DF8" w:rsidRDefault="00B0130F" w:rsidP="00C9525B">
            <w:pPr>
              <w:rPr>
                <w:rFonts w:ascii="Times New Roman" w:hAnsi="Times New Roman" w:cs="Times New Roman"/>
                <w:b/>
              </w:rPr>
            </w:pPr>
            <w:r w:rsidRPr="00577DF8">
              <w:rPr>
                <w:rFonts w:ascii="Times New Roman" w:hAnsi="Times New Roman" w:cs="Times New Roman"/>
                <w:b/>
              </w:rPr>
              <w:t>IMC (kg/m²), média (DP)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0F3CBBF5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26,5 (6,2)</w:t>
            </w:r>
          </w:p>
        </w:tc>
      </w:tr>
      <w:tr w:rsidR="00B0130F" w:rsidRPr="00577DF8" w14:paraId="6787DFB0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15FF3E53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 xml:space="preserve">&lt; 23.00 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7C06C5F3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52 (32,7)</w:t>
            </w:r>
          </w:p>
        </w:tc>
      </w:tr>
      <w:tr w:rsidR="00B0130F" w:rsidRPr="00577DF8" w14:paraId="0B488B04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629D50EE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23.10 – 27.99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4836AD2D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52 (32,7)</w:t>
            </w:r>
          </w:p>
        </w:tc>
      </w:tr>
      <w:tr w:rsidR="00B0130F" w:rsidRPr="00577DF8" w14:paraId="3DA86BB9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7909DAFD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 xml:space="preserve">≥ 28.00 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0A230CA5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55 (34,6)</w:t>
            </w:r>
          </w:p>
        </w:tc>
      </w:tr>
      <w:tr w:rsidR="00B0130F" w:rsidRPr="00577DF8" w14:paraId="512798C7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01396683" w14:textId="77777777" w:rsidR="00B0130F" w:rsidRPr="00577DF8" w:rsidRDefault="00B0130F" w:rsidP="00C9525B">
            <w:pPr>
              <w:rPr>
                <w:rFonts w:ascii="Times New Roman" w:hAnsi="Times New Roman" w:cs="Times New Roman"/>
                <w:b/>
                <w:bCs/>
              </w:rPr>
            </w:pPr>
            <w:r w:rsidRPr="00577DF8">
              <w:rPr>
                <w:rFonts w:ascii="Times New Roman" w:hAnsi="Times New Roman" w:cs="Times New Roman"/>
                <w:b/>
                <w:bCs/>
              </w:rPr>
              <w:t>CMB (cm), média (DP)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121E5BF3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23,2 (3,2)</w:t>
            </w:r>
          </w:p>
        </w:tc>
      </w:tr>
      <w:tr w:rsidR="00B0130F" w:rsidRPr="00577DF8" w14:paraId="696B3244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771CDAB0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Risco nutricional/desnutrição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28FE8E52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89 (56,0)</w:t>
            </w:r>
          </w:p>
        </w:tc>
      </w:tr>
      <w:tr w:rsidR="00B0130F" w:rsidRPr="00577DF8" w14:paraId="7A0B63BE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50745C1B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Adequado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1AFE515A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70 (44,0)</w:t>
            </w:r>
          </w:p>
        </w:tc>
      </w:tr>
      <w:tr w:rsidR="00B0130F" w:rsidRPr="00577DF8" w14:paraId="6B77A4A2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21FE6810" w14:textId="77777777" w:rsidR="00B0130F" w:rsidRPr="00577DF8" w:rsidRDefault="00B0130F" w:rsidP="00C9525B">
            <w:pPr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  <w:b/>
                <w:bCs/>
              </w:rPr>
              <w:t>CB (cm), média (DP)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37EAE0FD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29,4 (3,8)</w:t>
            </w:r>
          </w:p>
        </w:tc>
      </w:tr>
      <w:tr w:rsidR="00B0130F" w:rsidRPr="00577DF8" w14:paraId="5A373AE6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67F3D2E2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Risco nutricional/desnutrição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0FEE2802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64 (40,3)</w:t>
            </w:r>
          </w:p>
        </w:tc>
      </w:tr>
      <w:tr w:rsidR="00B0130F" w:rsidRPr="00577DF8" w14:paraId="091678F5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13DB8198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Adequado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6707573E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95 (59,7)</w:t>
            </w:r>
          </w:p>
        </w:tc>
      </w:tr>
      <w:tr w:rsidR="00B0130F" w:rsidRPr="00577DF8" w14:paraId="7189A343" w14:textId="77777777" w:rsidTr="00B0130F">
        <w:trPr>
          <w:trHeight w:val="385"/>
        </w:trPr>
        <w:tc>
          <w:tcPr>
            <w:tcW w:w="3528" w:type="pct"/>
            <w:tcBorders>
              <w:top w:val="nil"/>
              <w:bottom w:val="nil"/>
            </w:tcBorders>
          </w:tcPr>
          <w:p w14:paraId="3E2B0B19" w14:textId="77777777" w:rsidR="00B0130F" w:rsidRPr="00577DF8" w:rsidRDefault="00B0130F" w:rsidP="00C9525B">
            <w:pPr>
              <w:rPr>
                <w:rFonts w:ascii="Times New Roman" w:hAnsi="Times New Roman" w:cs="Times New Roman"/>
                <w:b/>
              </w:rPr>
            </w:pPr>
            <w:r w:rsidRPr="00577DF8">
              <w:rPr>
                <w:rFonts w:ascii="Times New Roman" w:hAnsi="Times New Roman" w:cs="Times New Roman"/>
                <w:b/>
              </w:rPr>
              <w:t xml:space="preserve">CP </w:t>
            </w:r>
            <w:r w:rsidRPr="00577DF8">
              <w:rPr>
                <w:rFonts w:ascii="Times New Roman" w:hAnsi="Times New Roman" w:cs="Times New Roman"/>
                <w:b/>
                <w:bCs/>
              </w:rPr>
              <w:t>(cm), média (DP)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14558B7C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35,4 (5,8)</w:t>
            </w:r>
          </w:p>
        </w:tc>
      </w:tr>
      <w:tr w:rsidR="00B0130F" w:rsidRPr="00577DF8" w14:paraId="733316A8" w14:textId="77777777" w:rsidTr="00B0130F">
        <w:trPr>
          <w:trHeight w:val="372"/>
        </w:trPr>
        <w:tc>
          <w:tcPr>
            <w:tcW w:w="3528" w:type="pct"/>
            <w:tcBorders>
              <w:top w:val="nil"/>
              <w:bottom w:val="nil"/>
            </w:tcBorders>
          </w:tcPr>
          <w:p w14:paraId="484947C3" w14:textId="77777777" w:rsidR="00B0130F" w:rsidRPr="00577DF8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Reduzido</w:t>
            </w:r>
          </w:p>
        </w:tc>
        <w:tc>
          <w:tcPr>
            <w:tcW w:w="1472" w:type="pct"/>
            <w:tcBorders>
              <w:top w:val="nil"/>
              <w:bottom w:val="nil"/>
            </w:tcBorders>
          </w:tcPr>
          <w:p w14:paraId="3E52D896" w14:textId="77777777" w:rsidR="00B0130F" w:rsidRPr="00577DF8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42 (26,4)</w:t>
            </w:r>
          </w:p>
        </w:tc>
      </w:tr>
      <w:tr w:rsidR="00B0130F" w:rsidRPr="00577DF8" w14:paraId="39FA6B86" w14:textId="77777777" w:rsidTr="00B0130F">
        <w:trPr>
          <w:trHeight w:val="80"/>
        </w:trPr>
        <w:tc>
          <w:tcPr>
            <w:tcW w:w="3528" w:type="pct"/>
            <w:tcBorders>
              <w:top w:val="nil"/>
              <w:bottom w:val="single" w:sz="4" w:space="0" w:color="auto"/>
            </w:tcBorders>
          </w:tcPr>
          <w:p w14:paraId="67C5540C" w14:textId="77777777" w:rsidR="00B0130F" w:rsidRDefault="00B0130F" w:rsidP="00C9525B">
            <w:pPr>
              <w:ind w:left="171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t>Adequado</w:t>
            </w:r>
          </w:p>
          <w:p w14:paraId="09F93175" w14:textId="0E7CF13C" w:rsidR="00C16358" w:rsidRPr="00577DF8" w:rsidRDefault="00C16358" w:rsidP="00C9525B">
            <w:pPr>
              <w:ind w:left="171"/>
              <w:rPr>
                <w:rFonts w:ascii="Times New Roman" w:hAnsi="Times New Roman" w:cs="Times New Roman"/>
              </w:rPr>
            </w:pPr>
            <w:r w:rsidRPr="00A53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EMAP (mm),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média (DP)</w:t>
            </w:r>
          </w:p>
        </w:tc>
        <w:tc>
          <w:tcPr>
            <w:tcW w:w="1472" w:type="pct"/>
            <w:tcBorders>
              <w:top w:val="nil"/>
              <w:bottom w:val="single" w:sz="4" w:space="0" w:color="auto"/>
            </w:tcBorders>
          </w:tcPr>
          <w:p w14:paraId="6A3F5546" w14:textId="77777777" w:rsidR="00B0130F" w:rsidRDefault="00B0130F" w:rsidP="00C9525B">
            <w:pPr>
              <w:jc w:val="center"/>
              <w:rPr>
                <w:rFonts w:ascii="Times New Roman" w:hAnsi="Times New Roman" w:cs="Times New Roman"/>
              </w:rPr>
            </w:pPr>
            <w:r w:rsidRPr="00577DF8">
              <w:rPr>
                <w:rFonts w:ascii="Times New Roman" w:hAnsi="Times New Roman" w:cs="Times New Roman"/>
              </w:rPr>
              <w:lastRenderedPageBreak/>
              <w:t>117 (73,6)</w:t>
            </w:r>
          </w:p>
          <w:p w14:paraId="37EB03E3" w14:textId="7224428A" w:rsidR="00C16358" w:rsidRPr="00577DF8" w:rsidRDefault="00C16358" w:rsidP="00C9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10,0 (2,7)</w:t>
            </w:r>
          </w:p>
        </w:tc>
      </w:tr>
    </w:tbl>
    <w:p w14:paraId="6E8F8F5C" w14:textId="6D560C4F" w:rsidR="00613CAD" w:rsidRPr="00613CAD" w:rsidRDefault="00613CAD" w:rsidP="00C9525B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iCs/>
          <w:color w:val="auto"/>
          <w:sz w:val="20"/>
          <w:szCs w:val="18"/>
        </w:rPr>
      </w:pPr>
      <w:r w:rsidRPr="00613CAD">
        <w:rPr>
          <w:rStyle w:val="fontstyle01"/>
          <w:rFonts w:ascii="Times New Roman" w:hAnsi="Times New Roman" w:cs="Times New Roman"/>
          <w:b/>
          <w:iCs/>
          <w:color w:val="auto"/>
          <w:sz w:val="20"/>
          <w:szCs w:val="18"/>
        </w:rPr>
        <w:lastRenderedPageBreak/>
        <w:t>Fonte:</w:t>
      </w:r>
      <w:r>
        <w:rPr>
          <w:rStyle w:val="fontstyle01"/>
          <w:rFonts w:ascii="Times New Roman" w:hAnsi="Times New Roman" w:cs="Times New Roman"/>
          <w:b/>
          <w:iCs/>
          <w:color w:val="auto"/>
          <w:sz w:val="20"/>
          <w:szCs w:val="18"/>
        </w:rPr>
        <w:t xml:space="preserve"> </w:t>
      </w:r>
      <w:r w:rsidRPr="00613CAD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Próprio autor</w:t>
      </w:r>
      <w:r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 xml:space="preserve"> (2020)</w:t>
      </w:r>
      <w:r w:rsidRPr="00613CAD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.</w:t>
      </w:r>
    </w:p>
    <w:p w14:paraId="3DDE3C48" w14:textId="51476DB2" w:rsidR="00436CD8" w:rsidRPr="00C9525B" w:rsidRDefault="00A3398A" w:rsidP="00C95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 xml:space="preserve">DP (desvio-padrão), 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18"/>
        </w:rPr>
        <w:t xml:space="preserve">IMC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(Índice de Massa Corporal),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18"/>
        </w:rPr>
        <w:t xml:space="preserve"> CMB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(Circunferência Muscular do Braço)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18"/>
        </w:rPr>
        <w:t xml:space="preserve">, CB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(Circunferência do Braço)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18"/>
        </w:rPr>
        <w:t xml:space="preserve">, CP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(Circunferência da Panturrilha).</w:t>
      </w:r>
    </w:p>
    <w:p w14:paraId="3C483036" w14:textId="77777777" w:rsidR="00D53EC5" w:rsidRPr="00D53EC5" w:rsidRDefault="00D53EC5" w:rsidP="00C95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21ADC3B0" w14:textId="73AAC3AD" w:rsidR="00A3398A" w:rsidRPr="00D53EC5" w:rsidRDefault="009721E2" w:rsidP="00C9525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Verificou-se que houve </w:t>
      </w:r>
      <w:r w:rsidR="008563E4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correlação </w:t>
      </w:r>
      <w:r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estatisticamente significante </w:t>
      </w:r>
      <w:r w:rsidR="008563E4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a EMAP e </w:t>
      </w:r>
      <w:r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tod</w:t>
      </w:r>
      <w:r w:rsidR="008563E4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A62817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indicadore</w:t>
      </w:r>
      <w:r w:rsidR="008563E4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s nutricionais</w:t>
      </w:r>
      <w:r w:rsidR="0051107F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(Tabela 2)</w:t>
      </w:r>
      <w:r w:rsidR="00817211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>orém as correlações foram consideradas fracas</w:t>
      </w:r>
      <w:r w:rsidR="00817211" w:rsidRPr="00D53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9BB549" w14:textId="77777777" w:rsidR="00A3398A" w:rsidRPr="00613CAD" w:rsidRDefault="00A3398A" w:rsidP="00C9525B">
      <w:pPr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613CAD">
        <w:rPr>
          <w:rFonts w:ascii="Times New Roman" w:hAnsi="Times New Roman" w:cs="Times New Roman"/>
          <w:b/>
          <w:sz w:val="20"/>
          <w:szCs w:val="20"/>
        </w:rPr>
        <w:t>Tabela 2.</w:t>
      </w:r>
      <w:r w:rsidRPr="00613CAD">
        <w:rPr>
          <w:rFonts w:ascii="Times New Roman" w:hAnsi="Times New Roman" w:cs="Times New Roman"/>
          <w:sz w:val="20"/>
          <w:szCs w:val="20"/>
        </w:rPr>
        <w:t xml:space="preserve"> Correlação entre EMAP e indicadores nutricionais em idosos, segundo sexo.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9721E2" w:rsidRPr="00577DF8" w14:paraId="430227E2" w14:textId="77777777" w:rsidTr="00817211">
        <w:trPr>
          <w:trHeight w:val="310"/>
        </w:trPr>
        <w:tc>
          <w:tcPr>
            <w:tcW w:w="2453" w:type="pct"/>
            <w:tcBorders>
              <w:bottom w:val="single" w:sz="4" w:space="0" w:color="auto"/>
            </w:tcBorders>
          </w:tcPr>
          <w:p w14:paraId="1B8BF4AF" w14:textId="5A721578" w:rsidR="009721E2" w:rsidRPr="00577DF8" w:rsidRDefault="00817211" w:rsidP="00C9525B">
            <w:pPr>
              <w:spacing w:line="276" w:lineRule="auto"/>
              <w:ind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2547" w:type="pct"/>
            <w:tcBorders>
              <w:bottom w:val="single" w:sz="4" w:space="0" w:color="auto"/>
            </w:tcBorders>
          </w:tcPr>
          <w:p w14:paraId="6336A91A" w14:textId="0E54EAF1" w:rsidR="009721E2" w:rsidRPr="00577DF8" w:rsidRDefault="009721E2" w:rsidP="00C9525B">
            <w:pPr>
              <w:spacing w:line="276" w:lineRule="auto"/>
              <w:ind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EMAP</w:t>
            </w:r>
          </w:p>
        </w:tc>
      </w:tr>
      <w:tr w:rsidR="009721E2" w:rsidRPr="00577DF8" w14:paraId="2C3ABF42" w14:textId="77777777" w:rsidTr="00817211">
        <w:trPr>
          <w:trHeight w:val="282"/>
        </w:trPr>
        <w:tc>
          <w:tcPr>
            <w:tcW w:w="2453" w:type="pct"/>
            <w:tcBorders>
              <w:bottom w:val="nil"/>
            </w:tcBorders>
          </w:tcPr>
          <w:p w14:paraId="1E6DC14A" w14:textId="77777777" w:rsidR="009721E2" w:rsidRPr="00577DF8" w:rsidRDefault="009721E2" w:rsidP="00C9525B">
            <w:pPr>
              <w:spacing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2547" w:type="pct"/>
            <w:tcBorders>
              <w:bottom w:val="nil"/>
            </w:tcBorders>
          </w:tcPr>
          <w:p w14:paraId="739CFE95" w14:textId="77777777" w:rsidR="009721E2" w:rsidRPr="00577DF8" w:rsidRDefault="009721E2" w:rsidP="00C9525B">
            <w:pPr>
              <w:spacing w:line="27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  <w:r w:rsidRPr="00577D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⁑</w:t>
            </w:r>
          </w:p>
        </w:tc>
      </w:tr>
      <w:tr w:rsidR="009721E2" w:rsidRPr="00577DF8" w14:paraId="1A682A9D" w14:textId="77777777" w:rsidTr="00817211">
        <w:trPr>
          <w:trHeight w:val="310"/>
        </w:trPr>
        <w:tc>
          <w:tcPr>
            <w:tcW w:w="2453" w:type="pct"/>
            <w:tcBorders>
              <w:top w:val="nil"/>
              <w:bottom w:val="nil"/>
            </w:tcBorders>
          </w:tcPr>
          <w:p w14:paraId="64C80132" w14:textId="77777777" w:rsidR="009721E2" w:rsidRPr="00577DF8" w:rsidRDefault="009721E2" w:rsidP="00C9525B">
            <w:pPr>
              <w:spacing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>CMB</w:t>
            </w:r>
          </w:p>
        </w:tc>
        <w:tc>
          <w:tcPr>
            <w:tcW w:w="2547" w:type="pct"/>
            <w:tcBorders>
              <w:top w:val="nil"/>
              <w:bottom w:val="nil"/>
            </w:tcBorders>
          </w:tcPr>
          <w:p w14:paraId="67E2BA2C" w14:textId="77777777" w:rsidR="009721E2" w:rsidRPr="00577DF8" w:rsidRDefault="009721E2" w:rsidP="00C9525B">
            <w:pPr>
              <w:spacing w:line="27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>0,184*</w:t>
            </w:r>
          </w:p>
        </w:tc>
      </w:tr>
      <w:tr w:rsidR="009721E2" w:rsidRPr="00577DF8" w14:paraId="062A1AA2" w14:textId="77777777" w:rsidTr="00817211">
        <w:trPr>
          <w:trHeight w:val="296"/>
        </w:trPr>
        <w:tc>
          <w:tcPr>
            <w:tcW w:w="2453" w:type="pct"/>
            <w:tcBorders>
              <w:top w:val="nil"/>
              <w:bottom w:val="nil"/>
            </w:tcBorders>
          </w:tcPr>
          <w:p w14:paraId="293795A2" w14:textId="77777777" w:rsidR="009721E2" w:rsidRPr="00577DF8" w:rsidRDefault="009721E2" w:rsidP="00C9525B">
            <w:pPr>
              <w:spacing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547" w:type="pct"/>
            <w:tcBorders>
              <w:top w:val="nil"/>
              <w:bottom w:val="nil"/>
            </w:tcBorders>
          </w:tcPr>
          <w:p w14:paraId="54742BE7" w14:textId="77777777" w:rsidR="009721E2" w:rsidRPr="00577DF8" w:rsidRDefault="009721E2" w:rsidP="00C9525B">
            <w:pPr>
              <w:spacing w:line="27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  <w:r w:rsidRPr="00577D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⁑</w:t>
            </w:r>
          </w:p>
        </w:tc>
      </w:tr>
      <w:tr w:rsidR="009721E2" w:rsidRPr="00C9525B" w14:paraId="09D883CB" w14:textId="77777777" w:rsidTr="00817211">
        <w:trPr>
          <w:trHeight w:val="296"/>
        </w:trPr>
        <w:tc>
          <w:tcPr>
            <w:tcW w:w="2453" w:type="pct"/>
            <w:tcBorders>
              <w:top w:val="nil"/>
            </w:tcBorders>
          </w:tcPr>
          <w:p w14:paraId="184C789E" w14:textId="77777777" w:rsidR="009721E2" w:rsidRPr="00C9525B" w:rsidRDefault="009721E2" w:rsidP="00C9525B">
            <w:pPr>
              <w:spacing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9525B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2547" w:type="pct"/>
            <w:tcBorders>
              <w:top w:val="nil"/>
            </w:tcBorders>
          </w:tcPr>
          <w:p w14:paraId="48BC0EFA" w14:textId="77777777" w:rsidR="009721E2" w:rsidRPr="00C9525B" w:rsidRDefault="009721E2" w:rsidP="00C9525B">
            <w:pPr>
              <w:spacing w:line="27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5B">
              <w:rPr>
                <w:rFonts w:ascii="Times New Roman" w:hAnsi="Times New Roman" w:cs="Times New Roman"/>
                <w:sz w:val="24"/>
                <w:szCs w:val="24"/>
              </w:rPr>
              <w:t>0,163*</w:t>
            </w:r>
          </w:p>
        </w:tc>
      </w:tr>
    </w:tbl>
    <w:p w14:paraId="7848A13F" w14:textId="77777777" w:rsidR="00613CAD" w:rsidRDefault="00613CAD" w:rsidP="00C9525B">
      <w:pPr>
        <w:spacing w:after="0"/>
        <w:ind w:right="-1"/>
        <w:jc w:val="both"/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</w:pPr>
      <w:r w:rsidRPr="00613CAD">
        <w:rPr>
          <w:rStyle w:val="fontstyle01"/>
          <w:rFonts w:ascii="Times New Roman" w:hAnsi="Times New Roman" w:cs="Times New Roman"/>
          <w:b/>
          <w:iCs/>
          <w:color w:val="auto"/>
          <w:sz w:val="20"/>
          <w:szCs w:val="18"/>
        </w:rPr>
        <w:t>Fonte:</w:t>
      </w:r>
      <w:r>
        <w:rPr>
          <w:rStyle w:val="fontstyle01"/>
          <w:rFonts w:ascii="Times New Roman" w:hAnsi="Times New Roman" w:cs="Times New Roman"/>
          <w:b/>
          <w:iCs/>
          <w:color w:val="auto"/>
          <w:sz w:val="20"/>
          <w:szCs w:val="18"/>
        </w:rPr>
        <w:t xml:space="preserve"> </w:t>
      </w:r>
      <w:r w:rsidRPr="00613CAD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Próprio autor</w:t>
      </w:r>
      <w:r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 xml:space="preserve"> (2020)</w:t>
      </w:r>
      <w:r w:rsidRPr="00613CAD"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>.</w:t>
      </w:r>
      <w:r>
        <w:rPr>
          <w:rStyle w:val="fontstyle01"/>
          <w:rFonts w:ascii="Times New Roman" w:hAnsi="Times New Roman" w:cs="Times New Roman"/>
          <w:iCs/>
          <w:color w:val="auto"/>
          <w:sz w:val="20"/>
          <w:szCs w:val="18"/>
        </w:rPr>
        <w:t xml:space="preserve"> </w:t>
      </w:r>
    </w:p>
    <w:p w14:paraId="0A9F26AF" w14:textId="1E419B55" w:rsidR="00A3398A" w:rsidRPr="00C9525B" w:rsidRDefault="00A3398A" w:rsidP="00613CAD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9525B">
        <w:rPr>
          <w:rFonts w:ascii="Times New Roman" w:hAnsi="Times New Roman" w:cs="Times New Roman"/>
          <w:sz w:val="20"/>
          <w:szCs w:val="20"/>
        </w:rPr>
        <w:t xml:space="preserve">Correlação de Pearson; *p&lt;0,05; </w:t>
      </w:r>
      <w:r w:rsidRPr="00C9525B">
        <w:rPr>
          <w:rFonts w:ascii="Times New Roman" w:hAnsi="Times New Roman" w:cs="Times New Roman"/>
          <w:sz w:val="20"/>
          <w:szCs w:val="20"/>
          <w:vertAlign w:val="superscript"/>
        </w:rPr>
        <w:t>⁑</w:t>
      </w:r>
      <w:r w:rsidRPr="00C9525B">
        <w:rPr>
          <w:rFonts w:ascii="Times New Roman" w:hAnsi="Times New Roman" w:cs="Times New Roman"/>
          <w:sz w:val="20"/>
          <w:szCs w:val="20"/>
        </w:rPr>
        <w:t>p&lt;0,01.</w:t>
      </w:r>
      <w:r w:rsidR="00613CAD">
        <w:rPr>
          <w:rFonts w:ascii="Times New Roman" w:hAnsi="Times New Roman" w:cs="Times New Roman"/>
          <w:sz w:val="20"/>
          <w:szCs w:val="20"/>
        </w:rPr>
        <w:t xml:space="preserve"> 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IMC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20"/>
        </w:rPr>
        <w:t>(Índice de Massa Corporal),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CMB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20"/>
        </w:rPr>
        <w:t>(Circunferência Muscular do Braço)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CB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20"/>
        </w:rPr>
        <w:t>(Circunferência do Braço)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CP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20"/>
        </w:rPr>
        <w:t>(Circunferência da Panturrilha)</w:t>
      </w:r>
      <w:r w:rsidRPr="00C9525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EMAP </w:t>
      </w:r>
      <w:r w:rsidRPr="00C9525B">
        <w:rPr>
          <w:rStyle w:val="fontstyle01"/>
          <w:rFonts w:ascii="Times New Roman" w:hAnsi="Times New Roman" w:cs="Times New Roman"/>
          <w:iCs/>
          <w:color w:val="auto"/>
          <w:sz w:val="20"/>
          <w:szCs w:val="20"/>
        </w:rPr>
        <w:t>(Espessura do Músculo Adutor do Polegar).</w:t>
      </w:r>
    </w:p>
    <w:p w14:paraId="55F0C725" w14:textId="77777777" w:rsidR="00613CAD" w:rsidRDefault="00613CAD" w:rsidP="00C9525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1CA72" w14:textId="77777777" w:rsidR="00C9525B" w:rsidRDefault="00C9525B" w:rsidP="00C9525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EMAP é considerada um importante parâmetro de avaliação da massa muscular tanto em indivíduos enfermos quanto saudáveis, tornando-a possível de ser utilizada para identificar o risco nutricional precocemente e auxiliar na recuperação e/ou manutenção do seu estado nutricional. Entretanto, na literatura ainda não há estudos sobre a relação da EMAP com outros indicadores nutricionais em idosos de comunidade, sendo a maioria dos trabalhos conduzidos com adultos e idosos hospitalizados, cirúrgicos e/ou portadores de doenças crônicas (PEREIRA et al., 2019; DUARTE et al., 2019; LAMEU, 2004a; BRAGAGNOLO et al., 2009; VALENTE et al., 2016). </w:t>
      </w:r>
    </w:p>
    <w:p w14:paraId="4681E1B6" w14:textId="060637E3" w:rsidR="009606C9" w:rsidRPr="00D53EC5" w:rsidRDefault="00C9525B" w:rsidP="00C9525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necessário novos estudos para se estabelecer pontos de corte da EMAP para idosos, seu uso nas diversas condições clínicas e nutricionais, como também em estabelecer a necessidade de diferenças por sexo e faixa etária, pois essas são lacunas existentes na literatura científica, que acabam limitando a sua utilização na prática clínica. Portanto, ressalta-se a importância de se avaliar a utilização da EMAP como indicador nutricional sensível para idosos de comunidade. </w:t>
      </w:r>
    </w:p>
    <w:p w14:paraId="3817DBEE" w14:textId="03E4357F" w:rsidR="00577DF8" w:rsidRPr="009606C9" w:rsidRDefault="00577DF8" w:rsidP="009606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1A8">
        <w:rPr>
          <w:rFonts w:ascii="Times New Roman" w:hAnsi="Times New Roman" w:cs="Times New Roman"/>
          <w:b/>
          <w:sz w:val="24"/>
          <w:szCs w:val="24"/>
        </w:rPr>
        <w:t xml:space="preserve">5 CONCLUSÃO </w:t>
      </w:r>
    </w:p>
    <w:p w14:paraId="32B532C7" w14:textId="1114CA49" w:rsidR="00C377E0" w:rsidRPr="00613CAD" w:rsidRDefault="005E53CD" w:rsidP="00613C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C5C">
        <w:rPr>
          <w:rFonts w:ascii="Times New Roman" w:hAnsi="Times New Roman" w:cs="Times New Roman"/>
          <w:sz w:val="24"/>
          <w:szCs w:val="24"/>
        </w:rPr>
        <w:t xml:space="preserve">Portanto, a medida da EMAP </w:t>
      </w:r>
      <w:r w:rsidR="00A6710D" w:rsidRPr="00AB3C5C">
        <w:rPr>
          <w:rFonts w:ascii="Times New Roman" w:hAnsi="Times New Roman" w:cs="Times New Roman"/>
          <w:sz w:val="24"/>
          <w:szCs w:val="24"/>
        </w:rPr>
        <w:t xml:space="preserve">apresentou </w:t>
      </w:r>
      <w:r w:rsidR="00817211">
        <w:rPr>
          <w:rFonts w:ascii="Times New Roman" w:hAnsi="Times New Roman" w:cs="Times New Roman"/>
          <w:sz w:val="24"/>
          <w:szCs w:val="24"/>
        </w:rPr>
        <w:t>relação com todos indicadores avaliados</w:t>
      </w:r>
      <w:r w:rsidR="00A6710D" w:rsidRPr="00AB3C5C">
        <w:rPr>
          <w:rFonts w:ascii="Times New Roman" w:hAnsi="Times New Roman" w:cs="Times New Roman"/>
          <w:sz w:val="24"/>
          <w:szCs w:val="24"/>
        </w:rPr>
        <w:t xml:space="preserve">. A EMAP é </w:t>
      </w:r>
      <w:r w:rsidR="009D5CF5" w:rsidRPr="00AB3C5C">
        <w:rPr>
          <w:rFonts w:ascii="Times New Roman" w:hAnsi="Times New Roman" w:cs="Times New Roman"/>
          <w:sz w:val="24"/>
          <w:szCs w:val="24"/>
        </w:rPr>
        <w:t>um método de</w:t>
      </w:r>
      <w:r w:rsidRPr="00AB3C5C">
        <w:rPr>
          <w:rFonts w:ascii="Times New Roman" w:hAnsi="Times New Roman" w:cs="Times New Roman"/>
          <w:sz w:val="24"/>
          <w:szCs w:val="24"/>
        </w:rPr>
        <w:t xml:space="preserve"> baixo custo e de </w:t>
      </w:r>
      <w:r w:rsidR="00403938" w:rsidRPr="00AB3C5C">
        <w:rPr>
          <w:rFonts w:ascii="Times New Roman" w:hAnsi="Times New Roman" w:cs="Times New Roman"/>
          <w:sz w:val="24"/>
          <w:szCs w:val="24"/>
        </w:rPr>
        <w:t xml:space="preserve">relevância </w:t>
      </w:r>
      <w:r w:rsidR="009D5CF5" w:rsidRPr="00AB3C5C">
        <w:rPr>
          <w:rFonts w:ascii="Times New Roman" w:hAnsi="Times New Roman" w:cs="Times New Roman"/>
          <w:sz w:val="24"/>
          <w:szCs w:val="24"/>
        </w:rPr>
        <w:t xml:space="preserve">clínica </w:t>
      </w:r>
      <w:r w:rsidRPr="00AB3C5C">
        <w:rPr>
          <w:rFonts w:ascii="Times New Roman" w:hAnsi="Times New Roman" w:cs="Times New Roman"/>
          <w:sz w:val="24"/>
          <w:szCs w:val="24"/>
        </w:rPr>
        <w:t xml:space="preserve">para auxiliar na determinação do </w:t>
      </w:r>
      <w:r w:rsidR="00890BF7" w:rsidRPr="00AB3C5C">
        <w:rPr>
          <w:rFonts w:ascii="Times New Roman" w:hAnsi="Times New Roman" w:cs="Times New Roman"/>
          <w:sz w:val="24"/>
          <w:szCs w:val="24"/>
        </w:rPr>
        <w:t>risco</w:t>
      </w:r>
      <w:r w:rsidRPr="00AB3C5C">
        <w:rPr>
          <w:rFonts w:ascii="Times New Roman" w:hAnsi="Times New Roman" w:cs="Times New Roman"/>
          <w:sz w:val="24"/>
          <w:szCs w:val="24"/>
        </w:rPr>
        <w:t xml:space="preserve"> nutricional, podendo ser adicionada aos protocolos </w:t>
      </w:r>
      <w:r w:rsidR="00A6710D" w:rsidRPr="00AB3C5C">
        <w:rPr>
          <w:rFonts w:ascii="Times New Roman" w:hAnsi="Times New Roman" w:cs="Times New Roman"/>
          <w:sz w:val="24"/>
          <w:szCs w:val="24"/>
        </w:rPr>
        <w:t xml:space="preserve">de triagem nutricional </w:t>
      </w:r>
      <w:r w:rsidRPr="00AB3C5C">
        <w:rPr>
          <w:rFonts w:ascii="Times New Roman" w:hAnsi="Times New Roman" w:cs="Times New Roman"/>
          <w:sz w:val="24"/>
          <w:szCs w:val="24"/>
        </w:rPr>
        <w:t>já existentes</w:t>
      </w:r>
      <w:r w:rsidR="00A6710D" w:rsidRPr="00AB3C5C">
        <w:rPr>
          <w:rFonts w:ascii="Times New Roman" w:hAnsi="Times New Roman" w:cs="Times New Roman"/>
          <w:sz w:val="24"/>
          <w:szCs w:val="24"/>
        </w:rPr>
        <w:t xml:space="preserve"> para idosos</w:t>
      </w:r>
      <w:r w:rsidR="009D5CF5" w:rsidRPr="00AB3C5C">
        <w:rPr>
          <w:rFonts w:ascii="Times New Roman" w:hAnsi="Times New Roman" w:cs="Times New Roman"/>
          <w:sz w:val="24"/>
          <w:szCs w:val="24"/>
        </w:rPr>
        <w:t>.</w:t>
      </w:r>
    </w:p>
    <w:p w14:paraId="6A7D225C" w14:textId="77C114EB" w:rsidR="003A6030" w:rsidRPr="00436CD8" w:rsidRDefault="0006296F" w:rsidP="00436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F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REFERÊNCIAS </w:t>
      </w:r>
    </w:p>
    <w:p w14:paraId="2268696D" w14:textId="5760D262" w:rsidR="00162CD7" w:rsidRPr="00436CD8" w:rsidRDefault="00253B29" w:rsidP="00162CD7">
      <w:pPr>
        <w:pStyle w:val="Default"/>
        <w:rPr>
          <w:rFonts w:ascii="Times New Roman" w:hAnsi="Times New Roman"/>
          <w:sz w:val="22"/>
          <w:szCs w:val="22"/>
          <w:lang w:val="en-US"/>
        </w:rPr>
      </w:pPr>
      <w:r w:rsidRPr="00436CD8">
        <w:rPr>
          <w:rFonts w:ascii="Times New Roman" w:hAnsi="Times New Roman"/>
          <w:sz w:val="22"/>
          <w:szCs w:val="22"/>
        </w:rPr>
        <w:t xml:space="preserve">BARBOSA-SILVA T. G., et al. </w:t>
      </w:r>
      <w:r w:rsidRPr="00436CD8">
        <w:rPr>
          <w:rFonts w:ascii="Times New Roman" w:hAnsi="Times New Roman"/>
          <w:sz w:val="22"/>
          <w:szCs w:val="22"/>
          <w:lang w:val="en-US"/>
        </w:rPr>
        <w:t xml:space="preserve">Prevalence of </w:t>
      </w:r>
      <w:proofErr w:type="spellStart"/>
      <w:r w:rsidRPr="00436CD8">
        <w:rPr>
          <w:rFonts w:ascii="Times New Roman" w:hAnsi="Times New Roman"/>
          <w:sz w:val="22"/>
          <w:szCs w:val="22"/>
          <w:lang w:val="en-US"/>
        </w:rPr>
        <w:t>sarcopenia</w:t>
      </w:r>
      <w:proofErr w:type="spellEnd"/>
      <w:r w:rsidRPr="00436CD8">
        <w:rPr>
          <w:rFonts w:ascii="Times New Roman" w:hAnsi="Times New Roman"/>
          <w:sz w:val="22"/>
          <w:szCs w:val="22"/>
          <w:lang w:val="en-US"/>
        </w:rPr>
        <w:t xml:space="preserve"> among community-dwelling elderly of a medium-sized South American city: Results of the COMO VAI? study</w:t>
      </w:r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 xml:space="preserve">. J Cachexia </w:t>
      </w:r>
      <w:proofErr w:type="spellStart"/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>Sarcopenia</w:t>
      </w:r>
      <w:proofErr w:type="spellEnd"/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 xml:space="preserve"> Muscle,</w:t>
      </w:r>
      <w:r w:rsidRPr="00436CD8">
        <w:rPr>
          <w:rFonts w:ascii="Times New Roman" w:hAnsi="Times New Roman"/>
          <w:sz w:val="22"/>
          <w:szCs w:val="22"/>
          <w:lang w:val="en-US"/>
        </w:rPr>
        <w:t xml:space="preserve"> v. 7, n. 2, p. 136-143, 2016.</w:t>
      </w:r>
    </w:p>
    <w:p w14:paraId="06F3C42B" w14:textId="77777777" w:rsidR="00162CD7" w:rsidRPr="00436CD8" w:rsidRDefault="00162CD7" w:rsidP="00162CD7">
      <w:pPr>
        <w:pStyle w:val="Default"/>
        <w:rPr>
          <w:rFonts w:ascii="Times New Roman" w:hAnsi="Times New Roman"/>
          <w:sz w:val="22"/>
          <w:szCs w:val="22"/>
          <w:lang w:val="en-US"/>
        </w:rPr>
      </w:pPr>
    </w:p>
    <w:p w14:paraId="7EBE33A4" w14:textId="61D01648" w:rsidR="00162CD7" w:rsidRPr="00436CD8" w:rsidRDefault="00162CD7" w:rsidP="00162CD7">
      <w:pPr>
        <w:pStyle w:val="Default"/>
        <w:rPr>
          <w:rFonts w:ascii="Times New Roman" w:hAnsi="Times New Roman"/>
          <w:sz w:val="22"/>
          <w:szCs w:val="22"/>
          <w:lang w:val="en-US"/>
        </w:rPr>
      </w:pPr>
      <w:r w:rsidRPr="00436CD8">
        <w:rPr>
          <w:rFonts w:ascii="Times New Roman" w:hAnsi="Times New Roman"/>
          <w:sz w:val="22"/>
          <w:szCs w:val="22"/>
          <w:lang w:val="en-US"/>
        </w:rPr>
        <w:t xml:space="preserve">BORKENT, J. W., et al. Prevalence and Determinants of </w:t>
      </w:r>
      <w:proofErr w:type="spellStart"/>
      <w:r w:rsidRPr="00436CD8">
        <w:rPr>
          <w:rFonts w:ascii="Times New Roman" w:hAnsi="Times New Roman"/>
          <w:sz w:val="22"/>
          <w:szCs w:val="22"/>
          <w:lang w:val="en-US"/>
        </w:rPr>
        <w:t>Undernutrition</w:t>
      </w:r>
      <w:proofErr w:type="spellEnd"/>
      <w:r w:rsidRPr="00436CD8">
        <w:rPr>
          <w:rFonts w:ascii="Times New Roman" w:hAnsi="Times New Roman"/>
          <w:sz w:val="22"/>
          <w:szCs w:val="22"/>
          <w:lang w:val="en-US"/>
        </w:rPr>
        <w:t xml:space="preserve"> in </w:t>
      </w:r>
      <w:proofErr w:type="gramStart"/>
      <w:r w:rsidRPr="00436CD8">
        <w:rPr>
          <w:rFonts w:ascii="Times New Roman" w:hAnsi="Times New Roman"/>
          <w:sz w:val="22"/>
          <w:szCs w:val="22"/>
          <w:lang w:val="en-US"/>
        </w:rPr>
        <w:t>A</w:t>
      </w:r>
      <w:proofErr w:type="gramEnd"/>
      <w:r w:rsidRPr="00436CD8">
        <w:rPr>
          <w:rFonts w:ascii="Times New Roman" w:hAnsi="Times New Roman"/>
          <w:sz w:val="22"/>
          <w:szCs w:val="22"/>
          <w:lang w:val="en-US"/>
        </w:rPr>
        <w:t xml:space="preserve"> Sample of Dutch Community-Dwelling Older Adults: Results from Two Online Screening Tools. </w:t>
      </w:r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>Int. J. Environ. Res. Public Health</w:t>
      </w:r>
      <w:r w:rsidRPr="00436CD8">
        <w:rPr>
          <w:rFonts w:ascii="Times New Roman" w:hAnsi="Times New Roman"/>
          <w:sz w:val="22"/>
          <w:szCs w:val="22"/>
          <w:lang w:val="en-US"/>
        </w:rPr>
        <w:t>. v. 16, n. 1562, p. 1-11, 2019</w:t>
      </w:r>
    </w:p>
    <w:p w14:paraId="45C3496C" w14:textId="77777777" w:rsidR="00162CD7" w:rsidRPr="00436CD8" w:rsidRDefault="00162CD7" w:rsidP="00162CD7">
      <w:pPr>
        <w:pStyle w:val="Default"/>
        <w:rPr>
          <w:rFonts w:ascii="Times New Roman" w:hAnsi="Times New Roman"/>
          <w:noProof/>
          <w:sz w:val="22"/>
          <w:szCs w:val="22"/>
          <w:lang w:val="en-US"/>
        </w:rPr>
      </w:pPr>
    </w:p>
    <w:p w14:paraId="2F4AB3A5" w14:textId="68A18462" w:rsidR="00162CD7" w:rsidRPr="00436CD8" w:rsidRDefault="00730D4E" w:rsidP="003A2136">
      <w:pPr>
        <w:pStyle w:val="Default"/>
        <w:rPr>
          <w:rFonts w:ascii="Times New Roman" w:hAnsi="Times New Roman"/>
          <w:noProof/>
          <w:sz w:val="22"/>
          <w:szCs w:val="22"/>
          <w:lang w:val="en-US"/>
        </w:rPr>
      </w:pPr>
      <w:r w:rsidRPr="00436CD8">
        <w:rPr>
          <w:rFonts w:ascii="Times New Roman" w:hAnsi="Times New Roman"/>
          <w:noProof/>
          <w:sz w:val="22"/>
          <w:szCs w:val="22"/>
          <w:lang w:val="en-US"/>
        </w:rPr>
        <w:t xml:space="preserve">BRAGAGNOLO, R., et al. </w:t>
      </w:r>
      <w:r w:rsidRPr="00436CD8">
        <w:rPr>
          <w:rFonts w:ascii="Times New Roman" w:hAnsi="Times New Roman"/>
          <w:noProof/>
          <w:sz w:val="22"/>
          <w:szCs w:val="22"/>
        </w:rPr>
        <w:t xml:space="preserve">Espessura do músculo adutor do polegar: um método rápido e Espessura do músculo adutor do polegar: um método rápido e confiável na avaliação nutricional de pacientes cirúrgicos. </w:t>
      </w:r>
      <w:r w:rsidRPr="00436CD8">
        <w:rPr>
          <w:rFonts w:ascii="Times New Roman" w:hAnsi="Times New Roman"/>
          <w:b/>
          <w:bCs/>
          <w:noProof/>
          <w:sz w:val="22"/>
          <w:szCs w:val="22"/>
          <w:lang w:val="en-US"/>
        </w:rPr>
        <w:t>Rev. Col. Bras. Cir.</w:t>
      </w:r>
      <w:r w:rsidRPr="00436CD8">
        <w:rPr>
          <w:rFonts w:ascii="Times New Roman" w:hAnsi="Times New Roman"/>
          <w:noProof/>
          <w:sz w:val="22"/>
          <w:szCs w:val="22"/>
          <w:lang w:val="en-US"/>
        </w:rPr>
        <w:t>, v. 36, n. 5, p. 371-376, 2009.</w:t>
      </w:r>
    </w:p>
    <w:p w14:paraId="17608AA1" w14:textId="77777777" w:rsidR="003A2136" w:rsidRPr="00436CD8" w:rsidRDefault="003A2136" w:rsidP="003A2136">
      <w:pPr>
        <w:pStyle w:val="Default"/>
        <w:rPr>
          <w:rFonts w:ascii="Times New Roman" w:hAnsi="Times New Roman"/>
          <w:sz w:val="22"/>
          <w:szCs w:val="22"/>
          <w:lang w:val="en-US"/>
        </w:rPr>
      </w:pPr>
    </w:p>
    <w:p w14:paraId="282B63C6" w14:textId="5C54C999" w:rsidR="00EF3436" w:rsidRPr="00436CD8" w:rsidRDefault="00A226C4" w:rsidP="000629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 w:rsidRPr="00436CD8">
        <w:rPr>
          <w:rFonts w:ascii="Times New Roman" w:hAnsi="Times New Roman" w:cs="Times New Roman"/>
          <w:lang w:val="en-US"/>
        </w:rPr>
        <w:t>CHUMLEA, W. C.</w:t>
      </w:r>
      <w:r w:rsidR="00253B29" w:rsidRPr="00436CD8">
        <w:rPr>
          <w:rFonts w:ascii="Times New Roman" w:hAnsi="Times New Roman" w:cs="Times New Roman"/>
          <w:lang w:val="en-US"/>
        </w:rPr>
        <w:t>,</w:t>
      </w:r>
      <w:r w:rsidRPr="00436CD8">
        <w:rPr>
          <w:rFonts w:ascii="Times New Roman" w:hAnsi="Times New Roman" w:cs="Times New Roman"/>
          <w:lang w:val="en-US"/>
        </w:rPr>
        <w:t xml:space="preserve"> et al. Nutritional Anthropometric Assessment in Elderly Persons 65 to 90 Years of Age. </w:t>
      </w:r>
      <w:r w:rsidRPr="00436CD8">
        <w:rPr>
          <w:rFonts w:ascii="Times New Roman" w:hAnsi="Times New Roman" w:cs="Times New Roman"/>
          <w:b/>
          <w:bCs/>
          <w:lang w:val="en-US"/>
        </w:rPr>
        <w:t xml:space="preserve">Journal of Nutrition </w:t>
      </w:r>
      <w:proofErr w:type="gramStart"/>
      <w:r w:rsidRPr="00436CD8">
        <w:rPr>
          <w:rFonts w:ascii="Times New Roman" w:hAnsi="Times New Roman" w:cs="Times New Roman"/>
          <w:b/>
          <w:bCs/>
          <w:lang w:val="en-US"/>
        </w:rPr>
        <w:t>For</w:t>
      </w:r>
      <w:proofErr w:type="gramEnd"/>
      <w:r w:rsidRPr="00436CD8">
        <w:rPr>
          <w:rFonts w:ascii="Times New Roman" w:hAnsi="Times New Roman" w:cs="Times New Roman"/>
          <w:b/>
          <w:bCs/>
          <w:lang w:val="en-US"/>
        </w:rPr>
        <w:t xml:space="preserve"> the Elderly</w:t>
      </w:r>
      <w:r w:rsidRPr="00436CD8">
        <w:rPr>
          <w:rFonts w:ascii="Times New Roman" w:hAnsi="Times New Roman" w:cs="Times New Roman"/>
          <w:lang w:val="en-US"/>
        </w:rPr>
        <w:t xml:space="preserve">, v. 4, n. 4, p. 39–52, 6 </w:t>
      </w:r>
      <w:proofErr w:type="spellStart"/>
      <w:r w:rsidRPr="00436CD8">
        <w:rPr>
          <w:rFonts w:ascii="Times New Roman" w:hAnsi="Times New Roman" w:cs="Times New Roman"/>
          <w:lang w:val="en-US"/>
        </w:rPr>
        <w:t>dez</w:t>
      </w:r>
      <w:proofErr w:type="spellEnd"/>
      <w:r w:rsidRPr="00436CD8">
        <w:rPr>
          <w:rFonts w:ascii="Times New Roman" w:hAnsi="Times New Roman" w:cs="Times New Roman"/>
          <w:lang w:val="en-US"/>
        </w:rPr>
        <w:t xml:space="preserve">. 1985. </w:t>
      </w:r>
    </w:p>
    <w:p w14:paraId="798AA0C1" w14:textId="001E6E0C" w:rsidR="000C6552" w:rsidRPr="00436CD8" w:rsidRDefault="007A4B5C" w:rsidP="000629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lang w:val="en-US"/>
        </w:rPr>
      </w:pPr>
      <w:r w:rsidRPr="00436CD8">
        <w:rPr>
          <w:rFonts w:ascii="Times New Roman" w:hAnsi="Times New Roman" w:cs="Times New Roman"/>
          <w:noProof/>
          <w:lang w:val="en-US"/>
        </w:rPr>
        <w:t>LAMEU, E. B.</w:t>
      </w:r>
      <w:r w:rsidR="00253B29" w:rsidRPr="00436CD8">
        <w:rPr>
          <w:rFonts w:ascii="Times New Roman" w:hAnsi="Times New Roman" w:cs="Times New Roman"/>
          <w:noProof/>
          <w:lang w:val="en-US"/>
        </w:rPr>
        <w:t>,</w:t>
      </w:r>
      <w:r w:rsidRPr="00436CD8">
        <w:rPr>
          <w:rFonts w:ascii="Times New Roman" w:hAnsi="Times New Roman" w:cs="Times New Roman"/>
          <w:noProof/>
          <w:lang w:val="en-US"/>
        </w:rPr>
        <w:t xml:space="preserve"> et al. Adductor pollicis muscle: a new anthropometric parameter. Rev. </w:t>
      </w:r>
      <w:r w:rsidRPr="00436CD8">
        <w:rPr>
          <w:rFonts w:ascii="Times New Roman" w:hAnsi="Times New Roman" w:cs="Times New Roman"/>
          <w:b/>
          <w:bCs/>
          <w:noProof/>
          <w:lang w:val="en-US"/>
        </w:rPr>
        <w:t>Hosp. Clín. Fac. Med. S. Paulo</w:t>
      </w:r>
      <w:r w:rsidRPr="00436CD8">
        <w:rPr>
          <w:rFonts w:ascii="Times New Roman" w:hAnsi="Times New Roman" w:cs="Times New Roman"/>
          <w:noProof/>
          <w:lang w:val="en-US"/>
        </w:rPr>
        <w:t>, v. 59, n. 2, p. 57–62, 2004.</w:t>
      </w:r>
    </w:p>
    <w:p w14:paraId="7ABB0D10" w14:textId="77777777" w:rsidR="00EF3436" w:rsidRPr="00436CD8" w:rsidRDefault="00A226C4" w:rsidP="000629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 w:rsidRPr="00436CD8">
        <w:rPr>
          <w:rFonts w:ascii="Times New Roman" w:hAnsi="Times New Roman" w:cs="Times New Roman"/>
          <w:lang w:val="en-US"/>
        </w:rPr>
        <w:t xml:space="preserve">LOHMAN, T. G.; ROCHE, A. F.; MARTORELL, R. </w:t>
      </w:r>
      <w:r w:rsidRPr="00436CD8">
        <w:rPr>
          <w:rFonts w:ascii="Times New Roman" w:hAnsi="Times New Roman" w:cs="Times New Roman"/>
          <w:b/>
          <w:bCs/>
          <w:lang w:val="en-US"/>
        </w:rPr>
        <w:t>Anthropometric standardization reference manual.</w:t>
      </w:r>
      <w:r w:rsidRPr="00436CD8">
        <w:rPr>
          <w:rFonts w:ascii="Times New Roman" w:hAnsi="Times New Roman" w:cs="Times New Roman"/>
          <w:lang w:val="en-US"/>
        </w:rPr>
        <w:t xml:space="preserve"> Human Kinetics Books, p. 177, 1988. </w:t>
      </w:r>
    </w:p>
    <w:p w14:paraId="729376C4" w14:textId="77777777" w:rsidR="003A2136" w:rsidRPr="00436CD8" w:rsidRDefault="00162CD7" w:rsidP="003A2136">
      <w:pPr>
        <w:pStyle w:val="Default"/>
        <w:rPr>
          <w:rFonts w:ascii="Times New Roman" w:hAnsi="Times New Roman"/>
          <w:sz w:val="22"/>
          <w:szCs w:val="22"/>
          <w:lang w:val="en-US"/>
        </w:rPr>
      </w:pPr>
      <w:r w:rsidRPr="00436CD8">
        <w:rPr>
          <w:rFonts w:ascii="Times New Roman" w:hAnsi="Times New Roman"/>
          <w:sz w:val="22"/>
          <w:szCs w:val="22"/>
          <w:lang w:val="en-US"/>
        </w:rPr>
        <w:t xml:space="preserve">NAMBOOZE, J.; FUJIMURA, M.; INAOKA, T. Nutritional status and functional capacity of community-dwelling elderly in southern Laos. </w:t>
      </w:r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 xml:space="preserve">Environ Health </w:t>
      </w:r>
      <w:proofErr w:type="spellStart"/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>Prev</w:t>
      </w:r>
      <w:proofErr w:type="spellEnd"/>
      <w:r w:rsidRPr="00436CD8">
        <w:rPr>
          <w:rFonts w:ascii="Times New Roman" w:hAnsi="Times New Roman"/>
          <w:b/>
          <w:bCs/>
          <w:sz w:val="22"/>
          <w:szCs w:val="22"/>
          <w:lang w:val="en-US"/>
        </w:rPr>
        <w:t xml:space="preserve"> Med</w:t>
      </w:r>
      <w:r w:rsidRPr="00436CD8">
        <w:rPr>
          <w:rFonts w:ascii="Times New Roman" w:hAnsi="Times New Roman"/>
          <w:sz w:val="22"/>
          <w:szCs w:val="22"/>
          <w:lang w:val="en-US"/>
        </w:rPr>
        <w:t>. v. 19, p. 143–150, 2014</w:t>
      </w:r>
      <w:r w:rsidR="003A2136" w:rsidRPr="00436CD8">
        <w:rPr>
          <w:rFonts w:ascii="Times New Roman" w:hAnsi="Times New Roman"/>
          <w:sz w:val="22"/>
          <w:szCs w:val="22"/>
          <w:lang w:val="en-US"/>
        </w:rPr>
        <w:t>.</w:t>
      </w:r>
    </w:p>
    <w:p w14:paraId="1D75BF16" w14:textId="77777777" w:rsidR="003A2136" w:rsidRPr="00436CD8" w:rsidRDefault="003A2136" w:rsidP="003A2136">
      <w:pPr>
        <w:pStyle w:val="Default"/>
        <w:rPr>
          <w:rFonts w:ascii="Times New Roman" w:hAnsi="Times New Roman"/>
          <w:sz w:val="22"/>
          <w:szCs w:val="22"/>
          <w:lang w:val="en-US"/>
        </w:rPr>
      </w:pPr>
    </w:p>
    <w:p w14:paraId="11900FB0" w14:textId="7E9B4037" w:rsidR="00816457" w:rsidRPr="00436CD8" w:rsidRDefault="00C62C91" w:rsidP="003A2136">
      <w:pPr>
        <w:pStyle w:val="Default"/>
        <w:rPr>
          <w:rFonts w:ascii="Times New Roman" w:hAnsi="Times New Roman"/>
          <w:sz w:val="22"/>
          <w:szCs w:val="22"/>
        </w:rPr>
      </w:pPr>
      <w:r w:rsidRPr="00436CD8">
        <w:rPr>
          <w:rFonts w:ascii="Times New Roman" w:hAnsi="Times New Roman"/>
          <w:sz w:val="22"/>
          <w:szCs w:val="22"/>
          <w:lang w:val="en-US"/>
        </w:rPr>
        <w:t>ORGANIZACIÓN PANAMERICANA DE LA SALUD</w:t>
      </w:r>
      <w:r w:rsidR="00253B29" w:rsidRPr="00436CD8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División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Promoción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y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Protección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la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Salud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(HPP).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Encuesta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Multicentrica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salud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beinestar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y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envejecimiento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(SABE) em América Latina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el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Caribe: Informe Preliminar [Internet]. In: XXXVI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Reunión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del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Comité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asesor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investigaciones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em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Salud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; 9-11 </w:t>
      </w:r>
      <w:proofErr w:type="spellStart"/>
      <w:r w:rsidR="00253B29" w:rsidRPr="00436CD8">
        <w:rPr>
          <w:rFonts w:ascii="Times New Roman" w:hAnsi="Times New Roman"/>
          <w:sz w:val="22"/>
          <w:szCs w:val="22"/>
        </w:rPr>
        <w:t>jun</w:t>
      </w:r>
      <w:proofErr w:type="spellEnd"/>
      <w:r w:rsidR="00253B29" w:rsidRPr="00436CD8">
        <w:rPr>
          <w:rFonts w:ascii="Times New Roman" w:hAnsi="Times New Roman"/>
          <w:sz w:val="22"/>
          <w:szCs w:val="22"/>
        </w:rPr>
        <w:t xml:space="preserve"> 2001; Kingston, Jamaica: </w:t>
      </w:r>
      <w:r w:rsidR="00253B29" w:rsidRPr="00436CD8">
        <w:rPr>
          <w:rFonts w:ascii="Times New Roman" w:hAnsi="Times New Roman"/>
          <w:b/>
          <w:bCs/>
          <w:sz w:val="22"/>
          <w:szCs w:val="22"/>
        </w:rPr>
        <w:t>OPAS</w:t>
      </w:r>
      <w:r w:rsidR="00253B29" w:rsidRPr="00436CD8">
        <w:rPr>
          <w:rFonts w:ascii="Times New Roman" w:hAnsi="Times New Roman"/>
          <w:sz w:val="22"/>
          <w:szCs w:val="22"/>
        </w:rPr>
        <w:t>, 2002.</w:t>
      </w:r>
    </w:p>
    <w:p w14:paraId="24FB7857" w14:textId="77777777" w:rsidR="003728C6" w:rsidRPr="00436CD8" w:rsidRDefault="003728C6" w:rsidP="003A2136">
      <w:pPr>
        <w:pStyle w:val="Default"/>
        <w:rPr>
          <w:rFonts w:ascii="Times New Roman" w:hAnsi="Times New Roman"/>
          <w:sz w:val="22"/>
          <w:szCs w:val="22"/>
        </w:rPr>
      </w:pPr>
    </w:p>
    <w:p w14:paraId="31281552" w14:textId="624524CC" w:rsidR="003A2136" w:rsidRPr="00436CD8" w:rsidRDefault="00162CD7" w:rsidP="003A2136">
      <w:pPr>
        <w:pStyle w:val="Default"/>
        <w:rPr>
          <w:rFonts w:ascii="Times New Roman" w:hAnsi="Times New Roman"/>
          <w:sz w:val="22"/>
          <w:szCs w:val="22"/>
        </w:rPr>
      </w:pPr>
      <w:r w:rsidRPr="00436CD8">
        <w:rPr>
          <w:rFonts w:ascii="Times New Roman" w:hAnsi="Times New Roman"/>
          <w:sz w:val="22"/>
          <w:szCs w:val="22"/>
        </w:rPr>
        <w:t xml:space="preserve">PARDAL, L. P.; I MONTELLS, L. P.; ÁLVAREZ, L. R. </w:t>
      </w:r>
      <w:proofErr w:type="spellStart"/>
      <w:r w:rsidRPr="00436CD8">
        <w:rPr>
          <w:rFonts w:ascii="Times New Roman" w:hAnsi="Times New Roman"/>
          <w:sz w:val="22"/>
          <w:szCs w:val="22"/>
        </w:rPr>
        <w:t>Mayores</w:t>
      </w:r>
      <w:proofErr w:type="spellEnd"/>
      <w:r w:rsidRPr="00436CD8">
        <w:rPr>
          <w:rFonts w:ascii="Times New Roman" w:hAnsi="Times New Roman"/>
          <w:sz w:val="22"/>
          <w:szCs w:val="22"/>
        </w:rPr>
        <w:t xml:space="preserve"> que </w:t>
      </w:r>
      <w:proofErr w:type="spellStart"/>
      <w:r w:rsidRPr="00436CD8">
        <w:rPr>
          <w:rFonts w:ascii="Times New Roman" w:hAnsi="Times New Roman"/>
          <w:sz w:val="22"/>
          <w:szCs w:val="22"/>
        </w:rPr>
        <w:t>viven</w:t>
      </w:r>
      <w:proofErr w:type="spellEnd"/>
      <w:r w:rsidRPr="00436CD8">
        <w:rPr>
          <w:rFonts w:ascii="Times New Roman" w:hAnsi="Times New Roman"/>
          <w:sz w:val="22"/>
          <w:szCs w:val="22"/>
        </w:rPr>
        <w:t xml:space="preserve"> solos y </w:t>
      </w:r>
      <w:proofErr w:type="spellStart"/>
      <w:r w:rsidRPr="00436CD8">
        <w:rPr>
          <w:rFonts w:ascii="Times New Roman" w:hAnsi="Times New Roman"/>
          <w:sz w:val="22"/>
          <w:szCs w:val="22"/>
        </w:rPr>
        <w:t>malnutrición</w:t>
      </w:r>
      <w:proofErr w:type="spellEnd"/>
      <w:r w:rsidRPr="00436C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436CD8">
        <w:rPr>
          <w:rFonts w:ascii="Times New Roman" w:hAnsi="Times New Roman"/>
          <w:sz w:val="22"/>
          <w:szCs w:val="22"/>
          <w:lang w:val="en-US"/>
        </w:rPr>
        <w:t>Estudio</w:t>
      </w:r>
      <w:proofErr w:type="spellEnd"/>
      <w:r w:rsidRPr="00436CD8">
        <w:rPr>
          <w:rFonts w:ascii="Times New Roman" w:hAnsi="Times New Roman"/>
          <w:sz w:val="22"/>
          <w:szCs w:val="22"/>
          <w:lang w:val="en-US"/>
        </w:rPr>
        <w:t xml:space="preserve"> SOLGER</w:t>
      </w:r>
      <w:r w:rsidR="00170C07" w:rsidRPr="00436CD8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436CD8">
        <w:rPr>
          <w:rFonts w:ascii="Times New Roman" w:hAnsi="Times New Roman"/>
          <w:sz w:val="22"/>
          <w:szCs w:val="22"/>
          <w:lang w:val="en-US"/>
        </w:rPr>
        <w:t xml:space="preserve">The elderly living alone and malnutrition. SOLGER Study. </w:t>
      </w:r>
      <w:proofErr w:type="spellStart"/>
      <w:r w:rsidRPr="00436CD8">
        <w:rPr>
          <w:rFonts w:ascii="Times New Roman" w:hAnsi="Times New Roman"/>
          <w:b/>
          <w:bCs/>
          <w:sz w:val="22"/>
          <w:szCs w:val="22"/>
        </w:rPr>
        <w:t>Aten</w:t>
      </w:r>
      <w:proofErr w:type="spellEnd"/>
      <w:r w:rsidRPr="00436CD8">
        <w:rPr>
          <w:rFonts w:ascii="Times New Roman" w:hAnsi="Times New Roman"/>
          <w:b/>
          <w:bCs/>
          <w:sz w:val="22"/>
          <w:szCs w:val="22"/>
        </w:rPr>
        <w:t xml:space="preserve"> primaria</w:t>
      </w:r>
      <w:r w:rsidRPr="00436CD8">
        <w:rPr>
          <w:rFonts w:ascii="Times New Roman" w:hAnsi="Times New Roman"/>
          <w:sz w:val="22"/>
          <w:szCs w:val="22"/>
        </w:rPr>
        <w:t>. v. 49, n. 8, p. 450-458, 2017</w:t>
      </w:r>
      <w:r w:rsidR="003A2136" w:rsidRPr="00436CD8">
        <w:rPr>
          <w:rFonts w:ascii="Times New Roman" w:hAnsi="Times New Roman"/>
          <w:sz w:val="22"/>
          <w:szCs w:val="22"/>
        </w:rPr>
        <w:t>.</w:t>
      </w:r>
    </w:p>
    <w:p w14:paraId="26130813" w14:textId="77777777" w:rsidR="003A2136" w:rsidRPr="00436CD8" w:rsidRDefault="003A2136" w:rsidP="003A2136">
      <w:pPr>
        <w:pStyle w:val="Default"/>
        <w:rPr>
          <w:rFonts w:ascii="Times New Roman" w:hAnsi="Times New Roman"/>
          <w:sz w:val="22"/>
          <w:szCs w:val="22"/>
        </w:rPr>
      </w:pPr>
    </w:p>
    <w:p w14:paraId="6329146F" w14:textId="65FEE4C5" w:rsidR="003A2136" w:rsidRPr="00436CD8" w:rsidRDefault="007A4B5C" w:rsidP="000629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</w:rPr>
      </w:pPr>
      <w:r w:rsidRPr="00436CD8">
        <w:rPr>
          <w:rFonts w:ascii="Times New Roman" w:hAnsi="Times New Roman" w:cs="Times New Roman"/>
          <w:noProof/>
        </w:rPr>
        <w:t>PEREIRA</w:t>
      </w:r>
      <w:r w:rsidR="00A226C4" w:rsidRPr="00436CD8">
        <w:rPr>
          <w:rFonts w:ascii="Times New Roman" w:hAnsi="Times New Roman" w:cs="Times New Roman"/>
          <w:noProof/>
        </w:rPr>
        <w:t>,</w:t>
      </w:r>
      <w:r w:rsidRPr="00436CD8">
        <w:rPr>
          <w:rFonts w:ascii="Times New Roman" w:hAnsi="Times New Roman" w:cs="Times New Roman"/>
          <w:noProof/>
        </w:rPr>
        <w:t xml:space="preserve"> P. M. L.</w:t>
      </w:r>
      <w:r w:rsidR="00253B29" w:rsidRPr="00436CD8">
        <w:rPr>
          <w:rFonts w:ascii="Times New Roman" w:hAnsi="Times New Roman" w:cs="Times New Roman"/>
          <w:noProof/>
        </w:rPr>
        <w:t>,</w:t>
      </w:r>
      <w:r w:rsidRPr="00436CD8">
        <w:rPr>
          <w:rFonts w:ascii="Times New Roman" w:hAnsi="Times New Roman" w:cs="Times New Roman"/>
          <w:noProof/>
        </w:rPr>
        <w:t xml:space="preserve"> et al. </w:t>
      </w:r>
      <w:r w:rsidR="00A226C4" w:rsidRPr="00436CD8">
        <w:rPr>
          <w:rFonts w:ascii="Times New Roman" w:hAnsi="Times New Roman" w:cs="Times New Roman"/>
          <w:noProof/>
          <w:lang w:val="en-US"/>
        </w:rPr>
        <w:t xml:space="preserve">Adductor Pollicis Muscle Thickness for nutritional assessment: a systematic review. </w:t>
      </w:r>
      <w:r w:rsidR="00A226C4" w:rsidRPr="00436CD8">
        <w:rPr>
          <w:rFonts w:ascii="Times New Roman" w:hAnsi="Times New Roman" w:cs="Times New Roman"/>
          <w:b/>
          <w:bCs/>
          <w:noProof/>
        </w:rPr>
        <w:t xml:space="preserve">Rev Bras Enferm </w:t>
      </w:r>
      <w:r w:rsidR="00A226C4" w:rsidRPr="00436CD8">
        <w:rPr>
          <w:rFonts w:ascii="Times New Roman" w:hAnsi="Times New Roman" w:cs="Times New Roman"/>
          <w:noProof/>
        </w:rPr>
        <w:t>[Inte</w:t>
      </w:r>
      <w:r w:rsidR="003728C6" w:rsidRPr="00436CD8">
        <w:rPr>
          <w:rFonts w:ascii="Times New Roman" w:hAnsi="Times New Roman" w:cs="Times New Roman"/>
          <w:noProof/>
        </w:rPr>
        <w:t>rnet]. v. 71, n. 6, p. 3093-102, 2018.</w:t>
      </w:r>
    </w:p>
    <w:p w14:paraId="1D09A6B3" w14:textId="2C12CBCE" w:rsidR="00EF3436" w:rsidRPr="00436CD8" w:rsidRDefault="00A226C4" w:rsidP="000629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</w:rPr>
      </w:pPr>
      <w:r w:rsidRPr="00436CD8">
        <w:rPr>
          <w:rFonts w:ascii="Times New Roman" w:hAnsi="Times New Roman" w:cs="Times New Roman"/>
          <w:noProof/>
        </w:rPr>
        <w:t>PEREIRA, P. M. L.</w:t>
      </w:r>
      <w:r w:rsidR="00253B29" w:rsidRPr="00436CD8">
        <w:rPr>
          <w:rFonts w:ascii="Times New Roman" w:hAnsi="Times New Roman" w:cs="Times New Roman"/>
          <w:noProof/>
        </w:rPr>
        <w:t>,</w:t>
      </w:r>
      <w:r w:rsidRPr="00436CD8">
        <w:rPr>
          <w:rFonts w:ascii="Times New Roman" w:hAnsi="Times New Roman" w:cs="Times New Roman"/>
          <w:noProof/>
        </w:rPr>
        <w:t xml:space="preserve"> et al. Espessura do músculo adutor do polegar para avaliação nutricional de portadores de doença renal crônica em tratamento conservador. </w:t>
      </w:r>
      <w:r w:rsidRPr="00436CD8">
        <w:rPr>
          <w:rFonts w:ascii="Times New Roman" w:hAnsi="Times New Roman" w:cs="Times New Roman"/>
          <w:b/>
          <w:bCs/>
          <w:noProof/>
        </w:rPr>
        <w:t>Braz. J. Nephrol. (J. Bras. Nefrol.)</w:t>
      </w:r>
      <w:r w:rsidRPr="00436CD8">
        <w:rPr>
          <w:rFonts w:ascii="Times New Roman" w:hAnsi="Times New Roman" w:cs="Times New Roman"/>
          <w:noProof/>
        </w:rPr>
        <w:t xml:space="preserve"> v. 41, n. 1, p. 65-73, 2019. </w:t>
      </w:r>
      <w:r w:rsidR="0006296F" w:rsidRPr="00436CD8">
        <w:rPr>
          <w:rFonts w:ascii="Times New Roman" w:hAnsi="Times New Roman" w:cs="Times New Roman"/>
          <w:noProof/>
        </w:rPr>
        <w:t xml:space="preserve"> </w:t>
      </w:r>
    </w:p>
    <w:p w14:paraId="63359C59" w14:textId="076342F7" w:rsidR="003A2136" w:rsidRPr="00D34F2B" w:rsidRDefault="0006296F" w:rsidP="003728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</w:rPr>
      </w:pPr>
      <w:r w:rsidRPr="00436CD8">
        <w:rPr>
          <w:rFonts w:ascii="Times New Roman" w:hAnsi="Times New Roman" w:cs="Times New Roman"/>
          <w:noProof/>
        </w:rPr>
        <w:t xml:space="preserve">SOUZA, I. N.; OLIVEIRA, T. M.; RODRIGUES, C. Espessura do músculo adutor do polegar: uso e associação com parâmetros de avaliação nutricional em pacientes de urgência e emergência. </w:t>
      </w:r>
      <w:r w:rsidR="004967C7" w:rsidRPr="00D34F2B">
        <w:rPr>
          <w:rFonts w:ascii="Times New Roman" w:hAnsi="Times New Roman" w:cs="Times New Roman"/>
          <w:b/>
          <w:bCs/>
          <w:noProof/>
        </w:rPr>
        <w:t>BRASPEN J</w:t>
      </w:r>
      <w:r w:rsidR="004967C7" w:rsidRPr="00D34F2B">
        <w:rPr>
          <w:rFonts w:ascii="Times New Roman" w:hAnsi="Times New Roman" w:cs="Times New Roman"/>
          <w:noProof/>
        </w:rPr>
        <w:t xml:space="preserve">, </w:t>
      </w:r>
      <w:r w:rsidRPr="00D34F2B">
        <w:rPr>
          <w:rFonts w:ascii="Times New Roman" w:hAnsi="Times New Roman" w:cs="Times New Roman"/>
          <w:noProof/>
        </w:rPr>
        <w:t>v. 34, n. 1,</w:t>
      </w:r>
      <w:r w:rsidR="004967C7" w:rsidRPr="00D34F2B">
        <w:rPr>
          <w:rFonts w:ascii="Times New Roman" w:hAnsi="Times New Roman" w:cs="Times New Roman"/>
          <w:noProof/>
        </w:rPr>
        <w:t xml:space="preserve"> p. 94-99,</w:t>
      </w:r>
      <w:r w:rsidRPr="00D34F2B">
        <w:rPr>
          <w:rFonts w:ascii="Times New Roman" w:hAnsi="Times New Roman" w:cs="Times New Roman"/>
          <w:noProof/>
        </w:rPr>
        <w:t xml:space="preserve"> 2019. </w:t>
      </w:r>
    </w:p>
    <w:p w14:paraId="7033B166" w14:textId="05948D9E" w:rsidR="00EF3436" w:rsidRPr="00D34F2B" w:rsidRDefault="0006296F" w:rsidP="000629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lang w:val="en-US"/>
        </w:rPr>
      </w:pPr>
      <w:r w:rsidRPr="00D34F2B">
        <w:rPr>
          <w:rFonts w:ascii="Times New Roman" w:hAnsi="Times New Roman" w:cs="Times New Roman"/>
          <w:noProof/>
        </w:rPr>
        <w:t>VALENTE, K. P.</w:t>
      </w:r>
      <w:r w:rsidR="00253B29" w:rsidRPr="00D34F2B">
        <w:rPr>
          <w:rFonts w:ascii="Times New Roman" w:hAnsi="Times New Roman" w:cs="Times New Roman"/>
          <w:noProof/>
        </w:rPr>
        <w:t>,</w:t>
      </w:r>
      <w:r w:rsidRPr="00D34F2B">
        <w:rPr>
          <w:rFonts w:ascii="Times New Roman" w:hAnsi="Times New Roman" w:cs="Times New Roman"/>
          <w:noProof/>
        </w:rPr>
        <w:t xml:space="preserve"> et al.</w:t>
      </w:r>
      <w:r w:rsidR="004967C7" w:rsidRPr="00D34F2B">
        <w:rPr>
          <w:rFonts w:ascii="Times New Roman" w:hAnsi="Times New Roman" w:cs="Times New Roman"/>
        </w:rPr>
        <w:t xml:space="preserve"> </w:t>
      </w:r>
      <w:r w:rsidR="004967C7" w:rsidRPr="00436CD8">
        <w:rPr>
          <w:rFonts w:ascii="Times New Roman" w:hAnsi="Times New Roman" w:cs="Times New Roman"/>
          <w:noProof/>
        </w:rPr>
        <w:t>Espessura do músculo adutor do polegar na  avaliação nutricional de pacientes cirúrgicos</w:t>
      </w:r>
      <w:r w:rsidRPr="00436CD8">
        <w:rPr>
          <w:rFonts w:ascii="Times New Roman" w:hAnsi="Times New Roman" w:cs="Times New Roman"/>
          <w:noProof/>
        </w:rPr>
        <w:t xml:space="preserve">. </w:t>
      </w:r>
      <w:r w:rsidRPr="00D34F2B">
        <w:rPr>
          <w:rFonts w:ascii="Times New Roman" w:hAnsi="Times New Roman" w:cs="Times New Roman"/>
          <w:b/>
          <w:bCs/>
          <w:noProof/>
          <w:lang w:val="en-US"/>
        </w:rPr>
        <w:t>Einstein</w:t>
      </w:r>
      <w:r w:rsidRPr="00D34F2B">
        <w:rPr>
          <w:rFonts w:ascii="Times New Roman" w:hAnsi="Times New Roman" w:cs="Times New Roman"/>
          <w:noProof/>
          <w:lang w:val="en-US"/>
        </w:rPr>
        <w:t xml:space="preserve">, v. 14, n. 1, p. 18–24, 2016. </w:t>
      </w:r>
    </w:p>
    <w:p w14:paraId="50B0E2A2" w14:textId="119FCE7C" w:rsidR="00F40295" w:rsidRPr="00436CD8" w:rsidRDefault="00253B29" w:rsidP="00A339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</w:rPr>
      </w:pPr>
      <w:r w:rsidRPr="00D34F2B">
        <w:rPr>
          <w:rFonts w:ascii="Times New Roman" w:hAnsi="Times New Roman" w:cs="Times New Roman"/>
          <w:lang w:val="en-US"/>
        </w:rPr>
        <w:t>VON</w:t>
      </w:r>
      <w:r w:rsidR="00707BEA" w:rsidRPr="00D34F2B">
        <w:rPr>
          <w:rFonts w:ascii="Times New Roman" w:hAnsi="Times New Roman" w:cs="Times New Roman"/>
          <w:lang w:val="en-US"/>
        </w:rPr>
        <w:t xml:space="preserve"> </w:t>
      </w:r>
      <w:r w:rsidR="00707BEA" w:rsidRPr="00D34F2B">
        <w:rPr>
          <w:rStyle w:val="tlid-translation"/>
          <w:rFonts w:ascii="Times New Roman" w:hAnsi="Times New Roman" w:cs="Times New Roman"/>
          <w:lang w:val="en-US"/>
        </w:rPr>
        <w:t>HAEHLING</w:t>
      </w:r>
      <w:r w:rsidR="00707BEA" w:rsidRPr="00D34F2B">
        <w:rPr>
          <w:rFonts w:ascii="Times New Roman" w:hAnsi="Times New Roman" w:cs="Times New Roman"/>
          <w:lang w:val="en-US"/>
        </w:rPr>
        <w:t>,</w:t>
      </w:r>
      <w:r w:rsidRPr="00D34F2B">
        <w:rPr>
          <w:rFonts w:ascii="Times New Roman" w:hAnsi="Times New Roman" w:cs="Times New Roman"/>
          <w:lang w:val="en-US"/>
        </w:rPr>
        <w:t xml:space="preserve"> S., et al. </w:t>
      </w:r>
      <w:r w:rsidRPr="00436CD8">
        <w:rPr>
          <w:rFonts w:ascii="Times New Roman" w:hAnsi="Times New Roman" w:cs="Times New Roman"/>
          <w:lang w:val="en-US"/>
        </w:rPr>
        <w:t xml:space="preserve">Muscle wasting in heart failure: an overview. </w:t>
      </w:r>
      <w:proofErr w:type="spellStart"/>
      <w:r w:rsidRPr="00436CD8">
        <w:rPr>
          <w:rFonts w:ascii="Times New Roman" w:hAnsi="Times New Roman" w:cs="Times New Roman"/>
          <w:b/>
          <w:bCs/>
        </w:rPr>
        <w:t>Int</w:t>
      </w:r>
      <w:proofErr w:type="spellEnd"/>
      <w:r w:rsidRPr="00436CD8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Pr="00436CD8">
        <w:rPr>
          <w:rFonts w:ascii="Times New Roman" w:hAnsi="Times New Roman" w:cs="Times New Roman"/>
          <w:b/>
          <w:bCs/>
        </w:rPr>
        <w:t>Biochem</w:t>
      </w:r>
      <w:proofErr w:type="spellEnd"/>
      <w:r w:rsidRPr="00436C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6CD8">
        <w:rPr>
          <w:rFonts w:ascii="Times New Roman" w:hAnsi="Times New Roman" w:cs="Times New Roman"/>
          <w:b/>
          <w:bCs/>
        </w:rPr>
        <w:t>Cell</w:t>
      </w:r>
      <w:proofErr w:type="spellEnd"/>
      <w:r w:rsidRPr="00436C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6CD8">
        <w:rPr>
          <w:rFonts w:ascii="Times New Roman" w:hAnsi="Times New Roman" w:cs="Times New Roman"/>
          <w:b/>
          <w:bCs/>
        </w:rPr>
        <w:t>Biol</w:t>
      </w:r>
      <w:proofErr w:type="spellEnd"/>
      <w:r w:rsidRPr="00436CD8">
        <w:rPr>
          <w:rFonts w:ascii="Times New Roman" w:hAnsi="Times New Roman" w:cs="Times New Roman"/>
        </w:rPr>
        <w:t>, v. 45, n. 10, p. 2257–65, 2013.</w:t>
      </w:r>
    </w:p>
    <w:sectPr w:rsidR="00F40295" w:rsidRPr="00436CD8" w:rsidSect="00C9525B">
      <w:headerReference w:type="default" r:id="rId8"/>
      <w:footerReference w:type="default" r:id="rId9"/>
      <w:pgSz w:w="11906" w:h="16838"/>
      <w:pgMar w:top="1417" w:right="1133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3D37" w14:textId="77777777" w:rsidR="0012048E" w:rsidRDefault="0012048E" w:rsidP="007629C6">
      <w:pPr>
        <w:spacing w:after="0" w:line="240" w:lineRule="auto"/>
      </w:pPr>
      <w:r>
        <w:separator/>
      </w:r>
    </w:p>
  </w:endnote>
  <w:endnote w:type="continuationSeparator" w:id="0">
    <w:p w14:paraId="4EED212F" w14:textId="77777777" w:rsidR="0012048E" w:rsidRDefault="0012048E" w:rsidP="0076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MTStd">
    <w:altName w:val="Times New Roman"/>
    <w:panose1 w:val="00000000000000000000"/>
    <w:charset w:val="00"/>
    <w:family w:val="roman"/>
    <w:notTrueType/>
    <w:pitch w:val="default"/>
  </w:font>
  <w:font w:name="Palatino">
    <w:altName w:val="Book Antiqua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OT5fa4e291+20">
    <w:altName w:val="Cambria"/>
    <w:panose1 w:val="00000000000000000000"/>
    <w:charset w:val="00"/>
    <w:family w:val="roman"/>
    <w:notTrueType/>
    <w:pitch w:val="default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898302"/>
      <w:docPartObj>
        <w:docPartGallery w:val="Page Numbers (Bottom of Page)"/>
        <w:docPartUnique/>
      </w:docPartObj>
    </w:sdtPr>
    <w:sdtContent>
      <w:p w14:paraId="5443E381" w14:textId="6564EFF6" w:rsidR="00664579" w:rsidRDefault="006645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6F">
          <w:rPr>
            <w:noProof/>
          </w:rPr>
          <w:t>5</w:t>
        </w:r>
        <w:r>
          <w:fldChar w:fldCharType="end"/>
        </w:r>
      </w:p>
    </w:sdtContent>
  </w:sdt>
  <w:p w14:paraId="50D8B7E3" w14:textId="77777777" w:rsidR="00664579" w:rsidRDefault="006645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7E8F4" w14:textId="77777777" w:rsidR="0012048E" w:rsidRDefault="0012048E" w:rsidP="007629C6">
      <w:pPr>
        <w:spacing w:after="0" w:line="240" w:lineRule="auto"/>
      </w:pPr>
      <w:r>
        <w:separator/>
      </w:r>
    </w:p>
  </w:footnote>
  <w:footnote w:type="continuationSeparator" w:id="0">
    <w:p w14:paraId="31863F7F" w14:textId="77777777" w:rsidR="0012048E" w:rsidRDefault="0012048E" w:rsidP="0076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2752B" w14:textId="77777777" w:rsidR="00DD521C" w:rsidRDefault="00DD521C" w:rsidP="00DD521C">
    <w:pPr>
      <w:pStyle w:val="Cabealho"/>
    </w:pPr>
    <w:r w:rsidRPr="007629C6"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06B9D" wp14:editId="00E6493B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286500" cy="7715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771525"/>
                      </a:xfrm>
                      <a:prstGeom prst="bevel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644DE26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0;margin-top:-27.05pt;width:49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" filled="f" strokecolor="#f79646" strokeweight="2pt"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D9155" wp14:editId="43FF8488">
              <wp:simplePos x="0" y="0"/>
              <wp:positionH relativeFrom="column">
                <wp:posOffset>3501390</wp:posOffset>
              </wp:positionH>
              <wp:positionV relativeFrom="paragraph">
                <wp:posOffset>-182880</wp:posOffset>
              </wp:positionV>
              <wp:extent cx="2181225" cy="485775"/>
              <wp:effectExtent l="0" t="0" r="9525" b="952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5858B" w14:textId="15170359" w:rsidR="00DD521C" w:rsidRDefault="00DD521C">
                          <w:r w:rsidRPr="00DD521C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94059E9" wp14:editId="7B4E031D">
                                <wp:extent cx="1933575" cy="409575"/>
                                <wp:effectExtent l="0" t="0" r="9525" b="9525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35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D915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275.7pt;margin-top:-14.4pt;width:171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" fillcolor="white [3201]" stroked="f" strokeweight=".5pt">
              <v:textbox>
                <w:txbxContent>
                  <w:p w14:paraId="7A45858B" w14:textId="15170359" w:rsidR="00DD521C" w:rsidRDefault="00DD521C">
                    <w:r w:rsidRPr="00DD521C">
                      <w:rPr>
                        <w:noProof/>
                        <w:lang w:eastAsia="pt-BR"/>
                      </w:rPr>
                      <w:drawing>
                        <wp:inline distT="0" distB="0" distL="0" distR="0" wp14:anchorId="194059E9" wp14:editId="7B4E031D">
                          <wp:extent cx="1933575" cy="409575"/>
                          <wp:effectExtent l="0" t="0" r="9525" b="9525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35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III Congresso Internacional de Nutrição </w:t>
    </w:r>
  </w:p>
  <w:p w14:paraId="3EC2F131" w14:textId="38E5C438" w:rsidR="007629C6" w:rsidRDefault="00DD521C" w:rsidP="00DD521C">
    <w:pPr>
      <w:pStyle w:val="Cabealho"/>
    </w:pPr>
    <w:r>
      <w:t xml:space="preserve">Online </w:t>
    </w:r>
    <w:r w:rsidR="007629C6">
      <w:ptab w:relativeTo="indent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D97"/>
    <w:multiLevelType w:val="hybridMultilevel"/>
    <w:tmpl w:val="1DE67660"/>
    <w:lvl w:ilvl="0" w:tplc="BF2EF23A">
      <w:start w:val="6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10"/>
    <w:rsid w:val="00000885"/>
    <w:rsid w:val="00004D8C"/>
    <w:rsid w:val="00020524"/>
    <w:rsid w:val="0002447A"/>
    <w:rsid w:val="00045D21"/>
    <w:rsid w:val="00051B72"/>
    <w:rsid w:val="0006296F"/>
    <w:rsid w:val="00062C15"/>
    <w:rsid w:val="00076EB8"/>
    <w:rsid w:val="000B025A"/>
    <w:rsid w:val="000C6552"/>
    <w:rsid w:val="000E47EF"/>
    <w:rsid w:val="000F036F"/>
    <w:rsid w:val="001013D7"/>
    <w:rsid w:val="001068AC"/>
    <w:rsid w:val="001115C2"/>
    <w:rsid w:val="00112E9B"/>
    <w:rsid w:val="0012048E"/>
    <w:rsid w:val="001249BE"/>
    <w:rsid w:val="00133DBB"/>
    <w:rsid w:val="001435E3"/>
    <w:rsid w:val="001444EA"/>
    <w:rsid w:val="00162CD7"/>
    <w:rsid w:val="00170C07"/>
    <w:rsid w:val="0019681A"/>
    <w:rsid w:val="001D2646"/>
    <w:rsid w:val="001D70CB"/>
    <w:rsid w:val="001E4244"/>
    <w:rsid w:val="001F05F2"/>
    <w:rsid w:val="00205D0A"/>
    <w:rsid w:val="00235F51"/>
    <w:rsid w:val="00240015"/>
    <w:rsid w:val="00243439"/>
    <w:rsid w:val="00251F73"/>
    <w:rsid w:val="002528C5"/>
    <w:rsid w:val="00253B29"/>
    <w:rsid w:val="0025617B"/>
    <w:rsid w:val="0026766E"/>
    <w:rsid w:val="00290FD7"/>
    <w:rsid w:val="002933AF"/>
    <w:rsid w:val="002B2E53"/>
    <w:rsid w:val="002E2EB7"/>
    <w:rsid w:val="002E7A05"/>
    <w:rsid w:val="0030396E"/>
    <w:rsid w:val="00306799"/>
    <w:rsid w:val="00315023"/>
    <w:rsid w:val="003206C7"/>
    <w:rsid w:val="003332A6"/>
    <w:rsid w:val="00334018"/>
    <w:rsid w:val="00344FF0"/>
    <w:rsid w:val="0034781A"/>
    <w:rsid w:val="00350DF0"/>
    <w:rsid w:val="003546EF"/>
    <w:rsid w:val="003619A4"/>
    <w:rsid w:val="003728C6"/>
    <w:rsid w:val="00383E7C"/>
    <w:rsid w:val="003A2136"/>
    <w:rsid w:val="003A6030"/>
    <w:rsid w:val="003B0A4B"/>
    <w:rsid w:val="003D2F25"/>
    <w:rsid w:val="003D365F"/>
    <w:rsid w:val="003D4261"/>
    <w:rsid w:val="003E781D"/>
    <w:rsid w:val="003E7F81"/>
    <w:rsid w:val="00403938"/>
    <w:rsid w:val="00412F5A"/>
    <w:rsid w:val="00436CD8"/>
    <w:rsid w:val="00457953"/>
    <w:rsid w:val="00461B18"/>
    <w:rsid w:val="0046587F"/>
    <w:rsid w:val="004868EF"/>
    <w:rsid w:val="00486D7E"/>
    <w:rsid w:val="00490342"/>
    <w:rsid w:val="004967C7"/>
    <w:rsid w:val="004971A8"/>
    <w:rsid w:val="004C1603"/>
    <w:rsid w:val="004F346A"/>
    <w:rsid w:val="004F6FA0"/>
    <w:rsid w:val="0051107F"/>
    <w:rsid w:val="005322B3"/>
    <w:rsid w:val="00551EB9"/>
    <w:rsid w:val="00563EFA"/>
    <w:rsid w:val="005729A3"/>
    <w:rsid w:val="00577DF8"/>
    <w:rsid w:val="005814AA"/>
    <w:rsid w:val="00593BFE"/>
    <w:rsid w:val="005A3B6E"/>
    <w:rsid w:val="005C0AA0"/>
    <w:rsid w:val="005C5D0E"/>
    <w:rsid w:val="005C772D"/>
    <w:rsid w:val="005E53CD"/>
    <w:rsid w:val="005F647E"/>
    <w:rsid w:val="00603D9D"/>
    <w:rsid w:val="00613CAD"/>
    <w:rsid w:val="006164D1"/>
    <w:rsid w:val="006364F8"/>
    <w:rsid w:val="00653B9B"/>
    <w:rsid w:val="00660481"/>
    <w:rsid w:val="00660ACD"/>
    <w:rsid w:val="00664579"/>
    <w:rsid w:val="006762C9"/>
    <w:rsid w:val="00682D70"/>
    <w:rsid w:val="006A3257"/>
    <w:rsid w:val="006A4630"/>
    <w:rsid w:val="006B6CB1"/>
    <w:rsid w:val="006C0460"/>
    <w:rsid w:val="006C16F5"/>
    <w:rsid w:val="006C3440"/>
    <w:rsid w:val="006D13E1"/>
    <w:rsid w:val="006D5739"/>
    <w:rsid w:val="0070789B"/>
    <w:rsid w:val="00707BEA"/>
    <w:rsid w:val="00713193"/>
    <w:rsid w:val="00722050"/>
    <w:rsid w:val="0072565B"/>
    <w:rsid w:val="00726A11"/>
    <w:rsid w:val="00730D4E"/>
    <w:rsid w:val="007357D1"/>
    <w:rsid w:val="00742CCA"/>
    <w:rsid w:val="007629C6"/>
    <w:rsid w:val="007775FC"/>
    <w:rsid w:val="007A0325"/>
    <w:rsid w:val="007A4B5C"/>
    <w:rsid w:val="007A4D88"/>
    <w:rsid w:val="007B6625"/>
    <w:rsid w:val="007C695B"/>
    <w:rsid w:val="007F1C38"/>
    <w:rsid w:val="007F2AFD"/>
    <w:rsid w:val="00816457"/>
    <w:rsid w:val="00817211"/>
    <w:rsid w:val="008202FD"/>
    <w:rsid w:val="0082222C"/>
    <w:rsid w:val="00836E43"/>
    <w:rsid w:val="008403E1"/>
    <w:rsid w:val="008563E4"/>
    <w:rsid w:val="00864956"/>
    <w:rsid w:val="00872D06"/>
    <w:rsid w:val="00881376"/>
    <w:rsid w:val="00890BF7"/>
    <w:rsid w:val="008924B8"/>
    <w:rsid w:val="008949A0"/>
    <w:rsid w:val="008A72A1"/>
    <w:rsid w:val="008C1097"/>
    <w:rsid w:val="008C631E"/>
    <w:rsid w:val="008D582C"/>
    <w:rsid w:val="008E1C97"/>
    <w:rsid w:val="008E7949"/>
    <w:rsid w:val="00900A65"/>
    <w:rsid w:val="009100D7"/>
    <w:rsid w:val="00914DD8"/>
    <w:rsid w:val="0091664B"/>
    <w:rsid w:val="00937A12"/>
    <w:rsid w:val="00941E94"/>
    <w:rsid w:val="00942806"/>
    <w:rsid w:val="00951689"/>
    <w:rsid w:val="0095318F"/>
    <w:rsid w:val="00954970"/>
    <w:rsid w:val="009606C9"/>
    <w:rsid w:val="009653CB"/>
    <w:rsid w:val="0097172C"/>
    <w:rsid w:val="009721E2"/>
    <w:rsid w:val="00972B19"/>
    <w:rsid w:val="00982EC0"/>
    <w:rsid w:val="00993173"/>
    <w:rsid w:val="00993F60"/>
    <w:rsid w:val="009A7FEA"/>
    <w:rsid w:val="009D3CF8"/>
    <w:rsid w:val="009D3F2C"/>
    <w:rsid w:val="009D4608"/>
    <w:rsid w:val="009D5CF5"/>
    <w:rsid w:val="00A04CD3"/>
    <w:rsid w:val="00A2225C"/>
    <w:rsid w:val="00A22366"/>
    <w:rsid w:val="00A226C4"/>
    <w:rsid w:val="00A22DDD"/>
    <w:rsid w:val="00A2404D"/>
    <w:rsid w:val="00A276F9"/>
    <w:rsid w:val="00A3398A"/>
    <w:rsid w:val="00A52E0B"/>
    <w:rsid w:val="00A532A9"/>
    <w:rsid w:val="00A62817"/>
    <w:rsid w:val="00A63776"/>
    <w:rsid w:val="00A6710D"/>
    <w:rsid w:val="00A77802"/>
    <w:rsid w:val="00A92B20"/>
    <w:rsid w:val="00AB3C5C"/>
    <w:rsid w:val="00AB74E1"/>
    <w:rsid w:val="00AE10BB"/>
    <w:rsid w:val="00AE1EE7"/>
    <w:rsid w:val="00AF4261"/>
    <w:rsid w:val="00AF53EB"/>
    <w:rsid w:val="00AF7369"/>
    <w:rsid w:val="00B00225"/>
    <w:rsid w:val="00B007BD"/>
    <w:rsid w:val="00B0130F"/>
    <w:rsid w:val="00B0732B"/>
    <w:rsid w:val="00B13499"/>
    <w:rsid w:val="00B16211"/>
    <w:rsid w:val="00B46B5C"/>
    <w:rsid w:val="00B60F2F"/>
    <w:rsid w:val="00B63EAA"/>
    <w:rsid w:val="00B66419"/>
    <w:rsid w:val="00B727C8"/>
    <w:rsid w:val="00B82D67"/>
    <w:rsid w:val="00B87FDD"/>
    <w:rsid w:val="00B96743"/>
    <w:rsid w:val="00BB180C"/>
    <w:rsid w:val="00BC0468"/>
    <w:rsid w:val="00BE666E"/>
    <w:rsid w:val="00BF3D2D"/>
    <w:rsid w:val="00C024C0"/>
    <w:rsid w:val="00C05087"/>
    <w:rsid w:val="00C13823"/>
    <w:rsid w:val="00C16358"/>
    <w:rsid w:val="00C377E0"/>
    <w:rsid w:val="00C55B4D"/>
    <w:rsid w:val="00C57776"/>
    <w:rsid w:val="00C62C91"/>
    <w:rsid w:val="00C63FF2"/>
    <w:rsid w:val="00C6625B"/>
    <w:rsid w:val="00C734D8"/>
    <w:rsid w:val="00C81B4B"/>
    <w:rsid w:val="00C82199"/>
    <w:rsid w:val="00C843E3"/>
    <w:rsid w:val="00C85DB0"/>
    <w:rsid w:val="00C87F10"/>
    <w:rsid w:val="00C904CA"/>
    <w:rsid w:val="00C9525B"/>
    <w:rsid w:val="00CA71FD"/>
    <w:rsid w:val="00CB4291"/>
    <w:rsid w:val="00CC4D89"/>
    <w:rsid w:val="00CD5502"/>
    <w:rsid w:val="00CD79DB"/>
    <w:rsid w:val="00CE3073"/>
    <w:rsid w:val="00CF4AF5"/>
    <w:rsid w:val="00CF73C4"/>
    <w:rsid w:val="00D06ACE"/>
    <w:rsid w:val="00D271A8"/>
    <w:rsid w:val="00D334EE"/>
    <w:rsid w:val="00D33FFB"/>
    <w:rsid w:val="00D3416F"/>
    <w:rsid w:val="00D34F2B"/>
    <w:rsid w:val="00D35D80"/>
    <w:rsid w:val="00D46FBF"/>
    <w:rsid w:val="00D52A10"/>
    <w:rsid w:val="00D53EC5"/>
    <w:rsid w:val="00D71ED2"/>
    <w:rsid w:val="00D7476D"/>
    <w:rsid w:val="00D76308"/>
    <w:rsid w:val="00D9342B"/>
    <w:rsid w:val="00D94FD2"/>
    <w:rsid w:val="00DA5964"/>
    <w:rsid w:val="00DA7ABC"/>
    <w:rsid w:val="00DB506E"/>
    <w:rsid w:val="00DC0DF2"/>
    <w:rsid w:val="00DD521C"/>
    <w:rsid w:val="00DE1C28"/>
    <w:rsid w:val="00DF0CAE"/>
    <w:rsid w:val="00E22D92"/>
    <w:rsid w:val="00E23276"/>
    <w:rsid w:val="00E33D68"/>
    <w:rsid w:val="00E36FAA"/>
    <w:rsid w:val="00E53359"/>
    <w:rsid w:val="00E624A1"/>
    <w:rsid w:val="00E70D85"/>
    <w:rsid w:val="00E7365B"/>
    <w:rsid w:val="00E77B35"/>
    <w:rsid w:val="00E80714"/>
    <w:rsid w:val="00E81568"/>
    <w:rsid w:val="00E94D1C"/>
    <w:rsid w:val="00EA645D"/>
    <w:rsid w:val="00ED167C"/>
    <w:rsid w:val="00EF3436"/>
    <w:rsid w:val="00EF3BD5"/>
    <w:rsid w:val="00EF42B7"/>
    <w:rsid w:val="00EF736D"/>
    <w:rsid w:val="00F106A7"/>
    <w:rsid w:val="00F112DF"/>
    <w:rsid w:val="00F13DDD"/>
    <w:rsid w:val="00F15960"/>
    <w:rsid w:val="00F20256"/>
    <w:rsid w:val="00F32EEA"/>
    <w:rsid w:val="00F40295"/>
    <w:rsid w:val="00F454BE"/>
    <w:rsid w:val="00F46861"/>
    <w:rsid w:val="00F473ED"/>
    <w:rsid w:val="00F73C9E"/>
    <w:rsid w:val="00F80829"/>
    <w:rsid w:val="00FA3DC9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FC499"/>
  <w15:chartTrackingRefBased/>
  <w15:docId w15:val="{FD7C80B5-AD7C-479D-80B4-951BE9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52A1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16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62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62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6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62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2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A532A9"/>
    <w:rPr>
      <w:rFonts w:ascii="TimesNewRomanMTStd" w:hAnsi="TimesNewRomanMTStd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Default">
    <w:name w:val="Default"/>
    <w:rsid w:val="009A7FEA"/>
    <w:pPr>
      <w:autoSpaceDE w:val="0"/>
      <w:autoSpaceDN w:val="0"/>
      <w:spacing w:after="0" w:line="240" w:lineRule="auto"/>
    </w:pPr>
    <w:rPr>
      <w:rFonts w:ascii="Palatino" w:eastAsia="Palatino" w:hAnsi="Palatino" w:cs="Times New Roman"/>
      <w:color w:val="000000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64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64D1"/>
    <w:rPr>
      <w:rFonts w:ascii="Consolas" w:hAnsi="Consolas"/>
      <w:sz w:val="20"/>
      <w:szCs w:val="20"/>
    </w:rPr>
  </w:style>
  <w:style w:type="character" w:customStyle="1" w:styleId="tlid-translation">
    <w:name w:val="tlid-translation"/>
    <w:basedOn w:val="Fontepargpadro"/>
    <w:rsid w:val="006164D1"/>
  </w:style>
  <w:style w:type="character" w:customStyle="1" w:styleId="fontstyle21">
    <w:name w:val="fontstyle21"/>
    <w:basedOn w:val="Fontepargpadro"/>
    <w:rsid w:val="00BB180C"/>
    <w:rPr>
      <w:rFonts w:ascii="AdvOT5fa4e291+20" w:hAnsi="AdvOT5fa4e291+20" w:hint="default"/>
      <w:b w:val="0"/>
      <w:bCs w:val="0"/>
      <w:i w:val="0"/>
      <w:iCs w:val="0"/>
      <w:color w:val="0080AB"/>
      <w:sz w:val="14"/>
      <w:szCs w:val="14"/>
    </w:rPr>
  </w:style>
  <w:style w:type="character" w:styleId="nfase">
    <w:name w:val="Emphasis"/>
    <w:basedOn w:val="Fontepargpadro"/>
    <w:uiPriority w:val="20"/>
    <w:qFormat/>
    <w:rsid w:val="00CF4AF5"/>
    <w:rPr>
      <w:i/>
      <w:iCs/>
    </w:rPr>
  </w:style>
  <w:style w:type="character" w:styleId="Hyperlink">
    <w:name w:val="Hyperlink"/>
    <w:basedOn w:val="Fontepargpadro"/>
    <w:uiPriority w:val="99"/>
    <w:unhideWhenUsed/>
    <w:rsid w:val="00253B2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9C6"/>
  </w:style>
  <w:style w:type="paragraph" w:styleId="Rodap">
    <w:name w:val="footer"/>
    <w:basedOn w:val="Normal"/>
    <w:link w:val="RodapChar"/>
    <w:uiPriority w:val="99"/>
    <w:unhideWhenUsed/>
    <w:rsid w:val="0076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B88D-F467-4487-AB21-170AE059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1767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 do Windows</cp:lastModifiedBy>
  <cp:revision>22</cp:revision>
  <dcterms:created xsi:type="dcterms:W3CDTF">2020-09-18T18:03:00Z</dcterms:created>
  <dcterms:modified xsi:type="dcterms:W3CDTF">2020-10-09T00:16:00Z</dcterms:modified>
</cp:coreProperties>
</file>