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9"/>
        </w:tabs>
        <w:spacing w:after="0" w:before="0" w:line="360" w:lineRule="auto"/>
        <w:ind w:hanging="2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CONSTRUÇÃO DO HOMEM E O PAPEL DAS MULHERES NA ORDEM MAÇÔNICA: Uma análise a partir de arquivos.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19"/>
        </w:tabs>
        <w:spacing w:after="0" w:before="0" w:line="360" w:lineRule="auto"/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19"/>
        </w:tabs>
        <w:spacing w:after="0" w:before="0" w:line="360" w:lineRule="auto"/>
        <w:ind w:hanging="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Mykaella Martins Luz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MENDES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Chirley Mendes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pesquisa analisa a Maçonaria como uma instituição tradicionalmente masculina, estruturada por rituais, símbolos e normas que constroem e reforçam padrões de masculinidade hegemônica. Surgida na Idade Média, a Maçonaria evoluiu de guildas de artesãos para uma organização fraternal global, marcada por princípios como liberdade, igualdade e fraternidade. No entanto, esses valores são construídos a partir de um sujeito masculino normativo, ao passo que as mulheres são excluídas do processo iniciático e da participação plena na Ordem. Mobilizando os estudos de gênero, com destaque para Judith Butler e Robert Connell, a pesquisa examina como a Maçonaria constrói a figura do “homem maçom” e estabelece, ao mesmo tempo, uma posição subordinada para as mulheres, que são limitadas às ordens paramaçônicas, como a Estrela do Oriente. Obras como Introdução à Maçonaria, de António Arnaut, e O Grau de Aprendiz e Seus Mistérios, de Jorge Adoum, assim como artigos acadêmicos, foram analisados para formulação de considerações sobre a formação interna dos membros dessa instituição. Os resultados indicam que a Ordem Maçônica funciona como espaço de produção simbólica de padrões de masculinidade e feminilidade, naturalizando a exclusão e a subordinação feminina. Apresenta-se uma reflexão crítica sobre como instituições tradicionais perpetuam desigualdades de gênero e hierarquias simbólicas que afetam de forma restritiva a participação social das mulheres e suas possibilidades de organização coletiva. Na Maçonaria, as mulheres se organizam em ordens paramaçônicas que atuam como organizações de apoio às lojas maçônicas, embora possuam estruturas e funcionamento próprios.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maçonaria; gênero; masculinidade; feminilidade; ordens paramaçônicas.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43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INTRODUÇÃO/JUSTIFICATIVA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A presente pesquisa tem como tema central a análise das dinâmicas de gênero no interior da Maçonaria, organização fraternal que, desde suas origens medievais, consolidou-se como um espaço de construção de valores, símbolos e hierarquias predominantemente masculinas. Inserida na área de Ciências Humanas, com ênfase principal em Estudos de Gênero, a investigação busca compreender de que forma a estrutura interna da Ordem contribui para a formação de modelos de masculinidade e feminilidade, bem como para a exclusão feminina de seus espaços formais. Desenvolvida no contexto de pesquisa, a análise das normas, mitos e diretrizes maçônicas possibilita ao público-alvo, especialmente estudantes e futuros profissionais das áreas de humanas, ampliar seu olhar crítico sobre instituições tradicionais e suas implicações sociais. Assim, a pesquisa revela-se relevante por oferecer subsídios teóricos e práticos para problematizar relações de gênero e poder, fortalecendo a atuação profissional comprometida com a equidade e os direitos humanos.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360" w:lineRule="auto"/>
        <w:ind w:left="720" w:hanging="43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BASE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36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pesquisa se apoia nos estudos de gênero para analisar a construção social de padrões de masculinidade e feminilidade na Maçonaria, com destaque para o conceito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masculinidade hegemônica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Robert W. Connell. Autores como Judith Butler, Michel Foucault e Joan Scott instrumentalizam a pesquisa na compreensão das relações de gênero e das dinâmicas de poder. As obras maçônicas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“O Grau de Aprendiz e Seus Mistérios"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(Jorge Adoum) 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"Introdução à Maçonaria"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(António Arnaut) são fundamentais para entender como os rituais, símbolos e doutrinas da Ordem moldam a identidade do homem maçom e os papéis sociais das mulheres vinculadas, construindo padrões tradicionais de masculinidade e feminilidade.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43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ind w:left="0" w:right="759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3.1 -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pesquisa tem por objetivo analisar como a Ordem Maçônica, por meio de suas doutrinas, ritos e simbolismos, constrói a ideia do “ser homem” e um padrão de masculinidade hegemônica dentro da organização e opera, simultaneamente, a produção de noções de feminilidade e do papel das mulheres vinculadas, tanto dentro quanto fora da Maçonaria.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ind w:right="6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3.2 -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Examinar materiais doutrinários e formativos da Maçonaria que permitam acessar informações como critérios de conduta e valores morais que norteiam as práticas de seus membros;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Investigar como as doutrinas, ritos e simbolismos da Ordem Maçônica constroem noções de masculinidade;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Analisar a construção da masculinidade maçônica e a definição dos papéis e identidades femininas atreladas à Maçonaria.</w:t>
      </w:r>
    </w:p>
    <w:p w:rsidR="00000000" w:rsidDel="00000000" w:rsidP="00000000" w:rsidRDefault="00000000" w:rsidRPr="00000000" w14:paraId="00000017">
      <w:pPr>
        <w:spacing w:after="0" w:before="0" w:line="360" w:lineRule="auto"/>
        <w:ind w:left="72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43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metodologia baseia-se na análise de discursos presentes em documentos históricos e oficiais produzidos pelas próprias ordens maçônicas e por outros atores sociais e instituições relacionados à Maçonaria no Brasil. O trabalho iniciou-se pelo mapeamento das lojas maçônicas distribuídas no Brasil, especialmente na região norte e no Tocantins e seu histórico. Paralelamente, foram realizados levantamentos de registros oficiais, textos, livros, artigos e fontes digitais, com foco em elementos da estrutura doutrinária relacionados a padrões de conduta e valores morais orientadores das identidades e práticas masculinas dentro da Ordem Maçônica.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partir disso, buscou-se informações sobre a posição e papel das mulheres vinculadas aos maçons, principalmente por casamento e filiação, a fim de identificar a posição e papel dessas mulheres no interior da maçonaria. A lacuna encontrada, decorrente da invisibilização das mulheres nesses documentos, conduziu a pesquisa à necessidade de mapeamento das ordens paramaçônicas, enquanto braços das lojas maçônicas e espaços para as mulheres familiares dos maçons e suas atividades de filantropia já realizadas de forma auxiliar à maçonaria. Tais procedimentos foram incrementados pelo estudo e análise de produções acadêmicas, como a revista Ciência &amp; Maçonaria, e das obras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Introdução à Maçonaria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António Arnaut,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Grau de Aprendiz e Seus Mistérios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Jorge Adoum.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trabalho analítico foi fundamentado em teorias e conceitos dos estudos de gênero mobilizados pelas obras de Judith Butler, Michel Foucault, Joan Scott e Robert Connell, a fim de responder aos objetivos elencados. A investigação foi delimitada pelo levantamento e análise de: 1) aspectos históricos da Maçonaria; 2) estrutura interna da Ordem; 3) rituais, simbolismos, doutrinas, diretrizes e práticas maçônicas e seu conjunto de valores morais e perspectivas sociais norteadores; 4) espaços de participação de mulheres nas lojas maçônicas e paramaçônicas. A adoção de uma abordagem crítica dentro da teoria social contemporânea na leitura da documentação, que compõe as peças de análise do trabalho, permitiu investigar a construção e manutenção de padrões e modelos socioculturais de masculinidade e feminilidade dentro e a partir das estruturas das organizações maçônicas.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A Maçonaria é uma instituição historicamente masculina, com forte influência social, cultural e política. Além de seu caráter reservado, destaca-se por ações filantrópicas, nas quais esposas e filhas dos maçons têm participação ativa, principalmente na organização de eventos beneficentes e iniciativas comunitárias. Entretanto, apesar da relevância de suas contribuições, essas mulheres permanecem invisibilizadas ou sem o reconhecimento formal dentro da estrutura maçônica. Essa exclusão simbólica e estrutural está alinhada com a longa tradição da Maçonaria em manter-se como um espaço masculino, onde a participação feminina se restringe a papéis auxiliares e periféricos.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No âmbito doutrinário, a Maçonaria sustenta uma visão de progresso social centrada no homem, ao mesmo tempo em que invisibiliza experiências, corpos e subjetividades femininas, excluindo as mulheres do acesso pleno à Ordem. Os ritos, símbolos e princípios doutrinários funcionam como instrumentos pedagógicos para moldar um ideal de masculinidade, reforçando virtudes como racionalidade, disciplina, autocontrole, liderança e responsabilidade social. Dessa forma, a estrutura interna da Maçonaria legitima hierarquias de gênero, limita a participação feminina e perpetua desigualdades históricas e simbólicas dentro da organização.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análise da Maçonaria a partir dos estudos contemporâneos de gênero, especialmente das obras de Judith Butler (2010)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Robert Connell (1995), permite compreender esta organização como um agente de construção e manutenção de identidades de gênero. Butler (2010), ao argumentar que o gênero é uma construção cultural performativa, nos permite explicar que o papel social e simbólico atribuído às mulheres não decorre de uma diferença biológica essencial, mas de práticas sociais reiteradas que naturalizam a hierarquia entre os sexos. Connell, por sua vez, introduz o conceito de “masculinidade hegemônica” para compreensão das ideias vigentes e valorizadas sobre o que é “ser homem”, enquanto outras formas são marginalizadas. Já Foucault (2010) oferece ferramentas para compreensão dos processos de internalização de padrões, ideias e normas, bem como de suas formas de reprodução e institucionalização. Os rituais, símbolos e doutrinas maçônicas socializam os homens nos valores da Ordem, reforçando uma masculinidade específica e mantendo as mulheres excluídas das esferas de poder e participação sociopolítica da instituição.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Nesse contexto, as mulheres, ligadas indiretamente à Maçonaria por meio de parentesco com maçons, são excluídas dos processos de formação, produção de conhecimento e participação política da Ordem. A separação entre os espaços masculinos e as ordens femininas reforça binarismos de gênero, padrões normativos de comportamento e subordinação feminina. Além disso, o caráter secreto da Maçonaria funciona como mecanismo de exclusão, controlando o acesso ao conhecimento, poder e reconhecimento, mantendo a masculinidade como condição para participação plena.</w:t>
      </w:r>
    </w:p>
    <w:p w:rsidR="00000000" w:rsidDel="00000000" w:rsidP="00000000" w:rsidRDefault="00000000" w:rsidRPr="00000000" w14:paraId="00000022">
      <w:pPr>
        <w:spacing w:after="0" w:before="0" w:line="36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a instituição se assenta nos padrões de masculinidade socialmente aceitos e valorizados no Ocidente, como também atua para manutenção e reforço dos mesmos. Símbolos, ritos e normas agem sobre os sujeitos a partir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Butler (2010)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nomeia como “performatividade de gênero” ao engendrarem a repetição de práticas, gestos e comportamentos que definem o que significa “ser homem” dentro da Ordem. Tais práticas, gestos e comportamentos, por sua vez, são orientados por um ideal que privilegia atributos como força, racionalidade, honra e liderança, ao passo que também consolidam esse padrão. Tal processo leva os sujeitos a internalizar e replicar um conjunto de atributos e valores morais alinhados com a perspectiva binária de gênero e com o modelo de família nuclear cisheteronormativa e patriarcal, enquanto referenciais hegemônicos em nossa sociedade.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360" w:lineRule="auto"/>
        <w:ind w:left="720" w:hanging="43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CONCLUSÃO/CONSIDERAÇÕES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36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análise dos documentos a partir do arcabouço teórico dos estudos de gênero, permite demonstrar que a Maçonaria deve ser entendida não apenas como uma organização secreta ou filantrópica, mas como um espaço social onde identidades de gênero são produzidas, reguladas e naturalizadas. A instituição figura como um campo privilegiado para a construção de uma masculinidade hegemônica, na qual o sujeito masculino é continuamente moldado e reafirmado por meio de práticas ritualísticas, formativas, socioculturais e políticas. Por outro lado, as mulheres permanecem invisibilizadas e restritas a posições subalternas dentro das hierarquias institucionais da Ordem. Essa dinâmica evidencia como instituições tradicionais reproduzem e reforçam desigualdades de gênero presentes na sociedade, legitimando padrões de opressão e exclusão na esfera pública. Entender esses processos sociais nos permite demonstrar como a Ordem Maçônica participa da manutenção de hierarquias de gênero historicamente estabelecidas e problematizar as implicações de sua atuação nos campos sociocultural, político e econômico.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360" w:lineRule="auto"/>
        <w:ind w:left="720" w:hanging="437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ARNAUT, António.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 à maçonaria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Imprensa da Universidade de Coimbra/Coimbra University Press, 2017.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ADOUM, Jorge. </w:t>
      </w:r>
      <w:r w:rsidDel="00000000" w:rsidR="00000000" w:rsidRPr="00000000">
        <w:rPr>
          <w:rFonts w:ascii="Arial" w:cs="Arial" w:eastAsia="Arial" w:hAnsi="Arial"/>
          <w:b w:val="1"/>
          <w:color w:val="001d35"/>
          <w:sz w:val="24"/>
          <w:szCs w:val="24"/>
          <w:rtl w:val="0"/>
        </w:rPr>
        <w:t xml:space="preserve">Grau do Aprendiz e seus Mistérios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. São Paulo: Pensamento, 1975.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BUTLER, J.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Problemas de gênero: feminismo e subversão da identidade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3. Ed. Rio de Janeiro: Civilização Brasileira, 2010.</w:t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highlight w:val="white"/>
          <w:rtl w:val="0"/>
        </w:rPr>
        <w:t xml:space="preserve">CONNELL, Robert. </w:t>
      </w:r>
      <w:r w:rsidDel="00000000" w:rsidR="00000000" w:rsidRPr="00000000">
        <w:rPr>
          <w:rFonts w:ascii="Arial" w:cs="Arial" w:eastAsia="Arial" w:hAnsi="Arial"/>
          <w:b w:val="1"/>
          <w:color w:val="001d35"/>
          <w:sz w:val="24"/>
          <w:szCs w:val="24"/>
          <w:highlight w:val="white"/>
          <w:rtl w:val="0"/>
        </w:rPr>
        <w:t xml:space="preserve">Políticas da masculinidade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highlight w:val="white"/>
          <w:rtl w:val="0"/>
        </w:rPr>
        <w:t xml:space="preserve">. Educação &amp; Realidade, v. 20, n. 2, p. 185-206, 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right="279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x1if28fd7pm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right="279"/>
        <w:jc w:val="both"/>
        <w:rPr>
          <w:rFonts w:ascii="Helvetica Neue" w:cs="Helvetica Neue" w:eastAsia="Helvetica Neue" w:hAnsi="Helvetica Neue"/>
          <w:color w:val="001d35"/>
          <w:sz w:val="24"/>
          <w:szCs w:val="24"/>
        </w:rPr>
      </w:pPr>
      <w:bookmarkStart w:colFirst="0" w:colLast="0" w:name="_heading=h.qxyvr598gqvc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001d35"/>
          <w:sz w:val="24"/>
          <w:szCs w:val="24"/>
          <w:rtl w:val="0"/>
        </w:rPr>
        <w:t xml:space="preserve">FOUCAULT, Michel.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1d35"/>
          <w:sz w:val="24"/>
          <w:szCs w:val="24"/>
          <w:rtl w:val="0"/>
        </w:rPr>
        <w:t xml:space="preserve">Vigiar e punir: nascimento da prisão</w:t>
      </w:r>
      <w:r w:rsidDel="00000000" w:rsidR="00000000" w:rsidRPr="00000000">
        <w:rPr>
          <w:rFonts w:ascii="Helvetica Neue" w:cs="Helvetica Neue" w:eastAsia="Helvetica Neue" w:hAnsi="Helvetica Neue"/>
          <w:color w:val="001d35"/>
          <w:sz w:val="24"/>
          <w:szCs w:val="24"/>
          <w:rtl w:val="0"/>
        </w:rPr>
        <w:t xml:space="preserve">. Tradução de Raquel Ramalhete. 42 ed. Petrópolis, RJ: Vozes, 2014.</w:t>
      </w:r>
    </w:p>
    <w:p w:rsidR="00000000" w:rsidDel="00000000" w:rsidP="00000000" w:rsidRDefault="00000000" w:rsidRPr="00000000" w14:paraId="00000031">
      <w:pPr>
        <w:spacing w:after="0" w:before="0" w:line="240" w:lineRule="auto"/>
        <w:ind w:right="279"/>
        <w:jc w:val="both"/>
        <w:rPr>
          <w:rFonts w:ascii="Helvetica Neue" w:cs="Helvetica Neue" w:eastAsia="Helvetica Neue" w:hAnsi="Helvetica Neue"/>
          <w:color w:val="001d35"/>
          <w:sz w:val="24"/>
          <w:szCs w:val="24"/>
        </w:rPr>
      </w:pPr>
      <w:bookmarkStart w:colFirst="0" w:colLast="0" w:name="_heading=h.8pc9rzj8zu6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SOUZA, José.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discurso sexista na Maçonaria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Revista Ciência &amp; Maçonaria, Brasília, v.5, n.1, p.51-60,jan/ju, 2018.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360" w:lineRule="auto"/>
        <w:ind w:left="720" w:hanging="437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6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360" w:lineRule="auto"/>
        <w:ind w:left="0"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Registre-se aqui os agradecimentos ao Programa de Iniciação Científica (PIBIC) da Universidade Federal do Norte do Tocantins (UFNT).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126" w:top="2126" w:left="1418" w:right="1418" w:header="1417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160" w:before="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16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16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Voluntária do Programa de Iniciação Científica (PIVIC). Universidade Federal do Norte do Tocantins (UFNT), Centro de Educação, Humanidades e Saúde (CEHS). </w:t>
      </w:r>
      <w:hyperlink r:id="rId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mykaella.silva@ufnt.edu.br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Professora Doutora do curso de Licenciatura em Ciências Sociais. Universidade Federal do Norte do Tocantins (UFNT), Centro de Educação, Humanidades e Saúde (CEHS). Orientadora de Pesquisa de Iniciação Científica. </w:t>
      </w:r>
      <w:hyperlink r:id="rId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chirley.mendes@ufnt.edu.br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160"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-6349</wp:posOffset>
          </wp:positionH>
          <wp:positionV relativeFrom="paragraph">
            <wp:posOffset>-447674</wp:posOffset>
          </wp:positionV>
          <wp:extent cx="5769610" cy="1011555"/>
          <wp:effectExtent b="0" l="0" r="0" t="0"/>
          <wp:wrapTopAndBottom distB="0" dist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610" cy="1011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widowControl w:val="1"/>
      <w:spacing w:after="160" w:before="0" w:line="259" w:lineRule="auto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-6349</wp:posOffset>
          </wp:positionH>
          <wp:positionV relativeFrom="paragraph">
            <wp:posOffset>-447674</wp:posOffset>
          </wp:positionV>
          <wp:extent cx="5769610" cy="1011555"/>
          <wp:effectExtent b="0" l="0" r="0" t="0"/>
          <wp:wrapTopAndBottom distB="0" dist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610" cy="1011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widowControl w:val="1"/>
      <w:spacing w:after="160" w:before="0" w:line="259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437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notaderodapChar" w:customStyle="1">
    <w:name w:val="Texto de nota de rodapé Char"/>
    <w:basedOn w:val="DefaultParagraphFont"/>
    <w:uiPriority w:val="99"/>
    <w:semiHidden w:val="1"/>
    <w:qFormat w:val="1"/>
    <w:rsid w:val="00FC3814"/>
    <w:rPr>
      <w:sz w:val="20"/>
      <w:szCs w:val="20"/>
    </w:rPr>
  </w:style>
  <w:style w:type="character" w:styleId="ncoradanotaderodapuser" w:customStyle="1">
    <w:name w:val="Âncora da nota de rodapé (user)"/>
    <w:qFormat w:val="1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 w:val="1"/>
    <w:unhideWhenUsed w:val="1"/>
    <w:qFormat w:val="1"/>
    <w:rsid w:val="00FC3814"/>
    <w:rPr>
      <w:vertAlign w:val="superscript"/>
    </w:rPr>
  </w:style>
  <w:style w:type="character" w:styleId="Caracteresdenotaderodapuser" w:customStyle="1">
    <w:name w:val="Caracteres de nota de rodapé (user)"/>
    <w:qFormat w:val="1"/>
    <w:rPr/>
  </w:style>
  <w:style w:type="character" w:styleId="ncoradanotadefimuser" w:customStyle="1">
    <w:name w:val="Âncora da nota de fim (user)"/>
    <w:qFormat w:val="1"/>
    <w:rPr>
      <w:vertAlign w:val="superscript"/>
    </w:rPr>
  </w:style>
  <w:style w:type="character" w:styleId="Caracteresdenotadefimuser" w:customStyle="1">
    <w:name w:val="Caracteres de nota de fim (user)"/>
    <w:qFormat w:val="1"/>
    <w:rPr/>
  </w:style>
  <w:style w:type="character" w:styleId="Caracteresdenotaderodap">
    <w:name w:val="Caracteres de nota de rodapé"/>
    <w:qFormat w:val="1"/>
    <w:rPr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Ttulouser">
    <w:name w:val="Título (user)"/>
    <w:basedOn w:val="normal1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ndiceuser" w:customStyle="1">
    <w:name w:val="Índice (user)"/>
    <w:basedOn w:val="normal1"/>
    <w:qFormat w:val="1"/>
    <w:pPr>
      <w:suppressLineNumbers w:val="1"/>
    </w:pPr>
    <w:rPr>
      <w:rFonts w:cs="Lucida Sans"/>
    </w:rPr>
  </w:style>
  <w:style w:type="paragraph" w:styleId="FootnoteText">
    <w:name w:val="footnote text"/>
    <w:basedOn w:val="normal1"/>
    <w:link w:val="TextodenotaderodapChar"/>
    <w:uiPriority w:val="99"/>
    <w:semiHidden w:val="1"/>
    <w:unhideWhenUsed w:val="1"/>
    <w:rsid w:val="00FC3814"/>
    <w:pPr>
      <w:spacing w:after="0" w:before="0" w:line="240" w:lineRule="auto"/>
    </w:pPr>
    <w:rPr>
      <w:sz w:val="20"/>
      <w:szCs w:val="20"/>
    </w:rPr>
  </w:style>
  <w:style w:type="paragraph" w:styleId="NormalWeb">
    <w:name w:val="Normal (Web)"/>
    <w:basedOn w:val="normal1"/>
    <w:uiPriority w:val="99"/>
    <w:unhideWhenUsed w:val="1"/>
    <w:qFormat w:val="1"/>
    <w:rsid w:val="00017C63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eRodap" w:customStyle="1">
    <w:name w:val="Cabeçalho e Rodapé"/>
    <w:basedOn w:val="normal1"/>
    <w:qFormat w:val="1"/>
    <w:pPr/>
    <w:rPr/>
  </w:style>
  <w:style w:type="paragraph" w:styleId="Cabealhoerodap1">
    <w:name w:val="Cabeçalho e rodapé1"/>
    <w:basedOn w:val="Normal"/>
    <w:qFormat w:val="1"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user" w:customStyle="1">
    <w:name w:val="Conteúdo do quadro (user)"/>
    <w:basedOn w:val="normal1"/>
    <w:qFormat w:val="1"/>
    <w:pPr/>
    <w:rPr/>
  </w:style>
  <w:style w:type="paragraph" w:styleId="Anotao">
    <w:name w:val="Anotação"/>
    <w:basedOn w:val="Normal"/>
    <w:qFormat w:val="1"/>
    <w:pPr>
      <w:spacing w:after="0" w:before="56" w:line="240" w:lineRule="auto"/>
      <w:ind w:left="57" w:right="57" w:hanging="0"/>
    </w:pPr>
    <w:rPr>
      <w:color w:val="auto"/>
      <w:sz w:val="20"/>
      <w:szCs w:val="20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mykaella.silva@ufnt.edu.br" TargetMode="External"/><Relationship Id="rId2" Type="http://schemas.openxmlformats.org/officeDocument/2006/relationships/hyperlink" Target="mailto:chirley.mendes@ufnt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QADYA08xJStv6ejDl7Bg8WE2w==">CgMxLjAyDmgueDFpZjI4ZmQ3cG1qMg5oLnF4eXZyNTk4Z3F2YzIOaC44cGM5cnpqOHp1Nmc4AHIhMTEyb1huRzkxTXdWTmFfVWlhelItWWNvTEdQVXZWYlUy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2024-09-26T19:43:00Z</dcterms:created>
  <dc:creator>Anônimo</dc:creator>
</cp:coreProperties>
</file>