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2906" w14:textId="77777777" w:rsidR="00C5177D" w:rsidRPr="00C5177D" w:rsidRDefault="00C5177D" w:rsidP="00C5177D">
      <w:pPr>
        <w:spacing w:after="0" w:line="240" w:lineRule="auto"/>
        <w:jc w:val="right"/>
        <w:rPr>
          <w:rFonts w:ascii="Times New Roman" w:eastAsia="Times New Roman" w:hAnsi="Times New Roman" w:cs="Times New Roman"/>
          <w:b/>
          <w:bCs/>
          <w:sz w:val="24"/>
          <w:szCs w:val="24"/>
          <w:lang w:eastAsia="pt-BR"/>
        </w:rPr>
      </w:pPr>
    </w:p>
    <w:p w14:paraId="325AD2BA" w14:textId="77777777" w:rsidR="00C5177D" w:rsidRPr="00C5177D" w:rsidRDefault="00C5177D" w:rsidP="00C5177D">
      <w:pPr>
        <w:spacing w:after="0" w:line="240" w:lineRule="auto"/>
        <w:jc w:val="center"/>
        <w:rPr>
          <w:rFonts w:ascii="Times New Roman" w:eastAsia="Times New Roman" w:hAnsi="Times New Roman" w:cs="Times New Roman"/>
          <w:b/>
          <w:bCs/>
          <w:sz w:val="24"/>
          <w:szCs w:val="24"/>
          <w:lang w:eastAsia="pt-BR"/>
        </w:rPr>
      </w:pPr>
      <w:r w:rsidRPr="00C5177D">
        <w:rPr>
          <w:rFonts w:ascii="Times New Roman" w:eastAsia="Times New Roman" w:hAnsi="Times New Roman" w:cs="Times New Roman"/>
          <w:b/>
          <w:bCs/>
          <w:sz w:val="24"/>
          <w:szCs w:val="24"/>
          <w:lang w:eastAsia="pt-BR"/>
        </w:rPr>
        <w:t>ZORRO: PROTAGONISMO FEMININO NA TRAMA AUDIOVISUAL</w:t>
      </w:r>
    </w:p>
    <w:p w14:paraId="5CDD2899" w14:textId="77777777" w:rsidR="00267193" w:rsidRPr="00C5177D" w:rsidRDefault="00267193">
      <w:pPr>
        <w:spacing w:after="0" w:line="240" w:lineRule="auto"/>
        <w:jc w:val="right"/>
        <w:rPr>
          <w:rFonts w:ascii="Times New Roman" w:eastAsia="Times New Roman" w:hAnsi="Times New Roman" w:cs="Times New Roman"/>
          <w:bCs/>
          <w:sz w:val="24"/>
          <w:szCs w:val="24"/>
          <w:lang w:eastAsia="pt-BR"/>
        </w:rPr>
      </w:pPr>
    </w:p>
    <w:p w14:paraId="2B6B6800" w14:textId="46F7EC31" w:rsidR="00267193" w:rsidRPr="00C5177D" w:rsidRDefault="00C5177D" w:rsidP="00C5177D">
      <w:pPr>
        <w:spacing w:after="0" w:line="240" w:lineRule="auto"/>
        <w:jc w:val="center"/>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 xml:space="preserve">                                                                                                            DrºAlessandro de Almeida </w:t>
      </w:r>
    </w:p>
    <w:p w14:paraId="5281897D" w14:textId="7D2ECCA5" w:rsidR="00267193" w:rsidRPr="00C5177D" w:rsidRDefault="00C5177D">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Professor Unimontes </w:t>
      </w:r>
    </w:p>
    <w:p w14:paraId="4E8450CF" w14:textId="6A6C6FDD" w:rsidR="00267193" w:rsidRPr="00C5177D" w:rsidRDefault="00C5177D">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suportalessandro@gmail.com</w:t>
      </w:r>
    </w:p>
    <w:p w14:paraId="1F87BC75" w14:textId="52799445" w:rsidR="00267193" w:rsidRPr="00C5177D" w:rsidRDefault="00C5177D" w:rsidP="00B445C4">
      <w:pPr>
        <w:spacing w:after="0" w:line="240" w:lineRule="auto"/>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Cs/>
          <w:sz w:val="24"/>
          <w:szCs w:val="24"/>
          <w:lang w:eastAsia="pt-BR"/>
        </w:rPr>
        <w:t xml:space="preserve">                                                                                               </w:t>
      </w:r>
      <w:r w:rsidR="00B445C4">
        <w:rPr>
          <w:rFonts w:ascii="Times New Roman" w:eastAsia="Times New Roman" w:hAnsi="Times New Roman" w:cs="Times New Roman"/>
          <w:bCs/>
          <w:sz w:val="24"/>
          <w:szCs w:val="24"/>
          <w:lang w:eastAsia="pt-BR"/>
        </w:rPr>
        <w:t xml:space="preserve">  </w:t>
      </w:r>
      <w:r w:rsidRPr="00C5177D">
        <w:rPr>
          <w:rFonts w:ascii="Times New Roman" w:eastAsia="Times New Roman" w:hAnsi="Times New Roman" w:cs="Times New Roman"/>
          <w:b/>
          <w:bCs/>
          <w:sz w:val="24"/>
          <w:szCs w:val="24"/>
          <w:lang w:eastAsia="pt-BR"/>
        </w:rPr>
        <w:t>Eixo:</w:t>
      </w:r>
      <w:r w:rsidR="00B445C4" w:rsidRPr="00B445C4">
        <w:rPr>
          <w:rFonts w:ascii="Times New Roman" w:eastAsia="Times New Roman" w:hAnsi="Times New Roman" w:cs="Times New Roman"/>
          <w:b/>
          <w:bCs/>
          <w:sz w:val="24"/>
          <w:szCs w:val="24"/>
          <w:lang w:eastAsia="pt-BR"/>
        </w:rPr>
        <w:t>3- Educação e Diversidade</w:t>
      </w:r>
    </w:p>
    <w:p w14:paraId="35559F8C" w14:textId="77777777" w:rsidR="00267193" w:rsidRPr="00C5177D" w:rsidRDefault="00000000">
      <w:pPr>
        <w:spacing w:after="0" w:line="240" w:lineRule="auto"/>
        <w:rPr>
          <w:rFonts w:ascii="Times New Roman" w:hAnsi="Times New Roman" w:cs="Times New Roman"/>
          <w:b/>
          <w:sz w:val="24"/>
          <w:szCs w:val="24"/>
        </w:rPr>
      </w:pPr>
      <w:r w:rsidRPr="00C5177D">
        <w:rPr>
          <w:rFonts w:ascii="Times New Roman" w:hAnsi="Times New Roman" w:cs="Times New Roman"/>
          <w:b/>
          <w:sz w:val="24"/>
          <w:szCs w:val="24"/>
        </w:rPr>
        <w:t>Resumo Expandido</w:t>
      </w:r>
    </w:p>
    <w:p w14:paraId="30D6812F" w14:textId="77777777" w:rsidR="00267193" w:rsidRPr="00C5177D" w:rsidRDefault="00267193">
      <w:pPr>
        <w:spacing w:after="0" w:line="240" w:lineRule="auto"/>
        <w:ind w:firstLine="851"/>
        <w:jc w:val="both"/>
        <w:rPr>
          <w:rFonts w:ascii="Times New Roman" w:eastAsia="Times New Roman" w:hAnsi="Times New Roman" w:cs="Times New Roman"/>
          <w:sz w:val="24"/>
          <w:szCs w:val="24"/>
          <w:lang w:eastAsia="pt-BR"/>
        </w:rPr>
      </w:pPr>
    </w:p>
    <w:p w14:paraId="3026B690" w14:textId="77777777" w:rsidR="00267193"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 xml:space="preserve">Resumo simples </w:t>
      </w:r>
    </w:p>
    <w:p w14:paraId="46ECB377" w14:textId="77777777" w:rsidR="00C5177D" w:rsidRPr="002368FE" w:rsidRDefault="00C5177D" w:rsidP="00C5177D">
      <w:pPr>
        <w:spacing w:line="240" w:lineRule="auto"/>
        <w:jc w:val="both"/>
        <w:rPr>
          <w:rFonts w:ascii="Times New Roman" w:hAnsi="Times New Roman" w:cs="Times New Roman"/>
        </w:rPr>
      </w:pPr>
      <w:r w:rsidRPr="002368FE">
        <w:rPr>
          <w:rFonts w:ascii="Times New Roman" w:hAnsi="Times New Roman" w:cs="Times New Roman"/>
        </w:rPr>
        <w:t xml:space="preserve">O vigilante herói mascarado que defende plebeus e povos indígenas da Califórnia, criado em 1919 por Johnston McCulley, teve sua história reeditada em 2024, em uma série na qual as personagens femininas ganham um destaque peculiar. Diferentemente da produção seriada de 1957, estreada pelo canal ABC, a nova versão da história, roteirizada por Carlos Portela, em que o papel principal é interpretado por Miguel Bernandeau, aponta para momentos de protagonismo feminino em vários episódios. Sob essa inspiração, a proposta deste artigo é dar visibilidade e analisar tal questão, tendo como fonte de pesquisa a primeira temporada de “Zorro”, financiada pela “Amazon Prime Vídeo”, empresa de comunicação </w:t>
      </w:r>
      <w:r w:rsidRPr="002368FE">
        <w:rPr>
          <w:rFonts w:ascii="Times New Roman" w:hAnsi="Times New Roman" w:cs="Times New Roman"/>
          <w:i/>
          <w:iCs/>
        </w:rPr>
        <w:t>streaming</w:t>
      </w:r>
      <w:r w:rsidRPr="002368FE">
        <w:rPr>
          <w:rFonts w:ascii="Times New Roman" w:hAnsi="Times New Roman" w:cs="Times New Roman"/>
        </w:rPr>
        <w:t xml:space="preserve">. Para tanto, por meio do uso de conceitos da teoria das mídias digitais e de gênero, problematizaremos a construção e as ações das mulheres na trama audiovisual. A discussão se justifica, pois diante das transformações históricas que marcaram o século XX, a feminilidade se tornou presente na obra e o relevo da apresentação científica de suas contradições se faz salutar. </w:t>
      </w:r>
    </w:p>
    <w:p w14:paraId="56E01C77" w14:textId="77777777" w:rsidR="00C5177D" w:rsidRPr="00C5177D" w:rsidRDefault="00C5177D">
      <w:pPr>
        <w:spacing w:after="0" w:line="240" w:lineRule="auto"/>
        <w:jc w:val="both"/>
        <w:rPr>
          <w:rFonts w:ascii="Times New Roman" w:eastAsia="Times New Roman" w:hAnsi="Times New Roman" w:cs="Times New Roman"/>
          <w:b/>
          <w:sz w:val="24"/>
          <w:szCs w:val="24"/>
          <w:lang w:eastAsia="pt-BR"/>
        </w:rPr>
      </w:pPr>
    </w:p>
    <w:p w14:paraId="5FDEF878" w14:textId="77777777" w:rsidR="000C663D" w:rsidRPr="00C5177D" w:rsidRDefault="00000000" w:rsidP="000C663D">
      <w:pPr>
        <w:spacing w:line="360" w:lineRule="auto"/>
        <w:ind w:hanging="2"/>
        <w:jc w:val="both"/>
        <w:rPr>
          <w:rFonts w:ascii="Times New Roman" w:hAnsi="Times New Roman" w:cs="Times New Roman"/>
          <w:sz w:val="24"/>
          <w:szCs w:val="24"/>
        </w:rPr>
      </w:pPr>
      <w:r w:rsidRPr="00C5177D">
        <w:rPr>
          <w:rFonts w:ascii="Times New Roman" w:eastAsia="Times New Roman" w:hAnsi="Times New Roman" w:cs="Times New Roman"/>
          <w:b/>
          <w:sz w:val="24"/>
          <w:szCs w:val="24"/>
          <w:lang w:eastAsia="pt-BR"/>
        </w:rPr>
        <w:t>Palavras-chave:</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Mulher; Desconstrução; Mídias Digitais; Zorro</w:t>
      </w:r>
    </w:p>
    <w:p w14:paraId="3E0CE066" w14:textId="7C061FC7"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Introdução</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O vigilante herói mascarado que defende plebeus e povos indígenas da Califórnia, criado em 1919 por Johnston McCulley, teve sua história reeditada em 2024, em uma série na qual as personagens femininas ganham um destaque peculiar.</w:t>
      </w:r>
    </w:p>
    <w:p w14:paraId="0F09855F"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7B4E3898" w14:textId="5A7FAB59"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Justificativa e problema da pesquisa</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 xml:space="preserve">Diferentemente da produção seriada de 1957, estreada pelo canal ABC, a nova versão da história, roteirizada por Carlos Portela, em que o papel principal é interpretado por Miguel Bernandeau, aponta para momentos de protagonismo feminino em vários episódios. Sob essa inspiração, a proposta deste artigo é dar visibilidade e analisar tal questão, tendo como fonte de pesquisa a primeira temporada de “Zorro”, financiada pela “Amazon Prime Vídeo”, empresa de comunicação </w:t>
      </w:r>
      <w:r w:rsidR="000C663D" w:rsidRPr="00C5177D">
        <w:rPr>
          <w:rFonts w:ascii="Times New Roman" w:hAnsi="Times New Roman" w:cs="Times New Roman"/>
          <w:i/>
          <w:sz w:val="24"/>
          <w:szCs w:val="24"/>
        </w:rPr>
        <w:t>streaming</w:t>
      </w:r>
      <w:r w:rsidR="000C663D" w:rsidRPr="00C5177D">
        <w:rPr>
          <w:rFonts w:ascii="Times New Roman" w:hAnsi="Times New Roman" w:cs="Times New Roman"/>
          <w:sz w:val="24"/>
          <w:szCs w:val="24"/>
        </w:rPr>
        <w:t>.</w:t>
      </w:r>
    </w:p>
    <w:p w14:paraId="02DE0A12"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1B3508EB" w14:textId="2A81FC83"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Objetivos da pesquisa</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Para tanto, por meio do uso de conceitos da teoria das mídias digitais e de gênero, problematizaremos a construção e as ações das mulheres na trama audiovisual. Diante das transformações históricas que marcaram o século XX, a feminilidade se tornou presente na obra e o relevo da apresentação científica de suas contradições se faz salutar. Isso é perceptível tendo em vista que a banalização da violência e a ascensão da mulher marcam a história, mas tem um lugar especial no início do século XX.</w:t>
      </w:r>
    </w:p>
    <w:p w14:paraId="5CA3D193"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13ABD9B5" w14:textId="0F8ADBD0"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Referencial teórico que fundamenta a pesquisa</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 xml:space="preserve">Em meio às tragédias, da Primeira e Segunda Grande Guerra, os extremismos, a censura e a violência imperaram. Soma-se a isso a emergência tecnológica dos meios de comunicação que noticiavam as tragédias em nome da informação, do entretenimento e, sobretudo, de lucros dos mega empresários de mídia que se </w:t>
      </w:r>
      <w:r w:rsidR="000C663D" w:rsidRPr="00C5177D">
        <w:rPr>
          <w:rFonts w:ascii="Times New Roman" w:hAnsi="Times New Roman" w:cs="Times New Roman"/>
          <w:sz w:val="24"/>
          <w:szCs w:val="24"/>
        </w:rPr>
        <w:lastRenderedPageBreak/>
        <w:t>destacavam naqueles tempos sombrios. É exatamente nesse clima que, em 1919, surge a personagem “Zorro”, criada por Johnston McCulley, como um herói masculino que protege mulheres, índios e injustiçados. Mesmo que ficcionalmente a personagem remonte ao século XIX, as discussões tratadas por ele ganham ressonância pois versam sobre intolerância, violência e heroísmo, valores superexaltados por americanos no findar da Primeira Guerra Mundial.</w:t>
      </w:r>
    </w:p>
    <w:p w14:paraId="42CBBE69"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1D548AD4" w14:textId="4359E989"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Procedimentos metodológicos</w:t>
      </w:r>
      <w:r w:rsidR="000C663D" w:rsidRPr="00C5177D">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Cabe ressaltar que, na transição entre as guerras, a mortandade da comunidade masculina corrobora para o destaque do protagonismo feminino como gestoras, intelectuais e protagonistas de suas rotas não só devido à falta do masculino, mas sim em busca de paz e de uma vida digna. Sócrates Nolasco (2001) ressalta que o século XX é o período da ascensão da feminilidade e da desconstrução da superioridade masculina, comumente pautada pela violência para a imposição de uma superioridade.</w:t>
      </w:r>
    </w:p>
    <w:p w14:paraId="4F5EA1D5"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7C7358C5" w14:textId="669F9D6F" w:rsidR="00267193" w:rsidRPr="00C5177D" w:rsidRDefault="00000000" w:rsidP="00C5177D">
      <w:pPr>
        <w:jc w:val="both"/>
        <w:rPr>
          <w:rFonts w:ascii="Times New Roman" w:hAnsi="Times New Roman" w:cs="Times New Roman"/>
          <w:sz w:val="24"/>
          <w:szCs w:val="24"/>
        </w:rPr>
      </w:pPr>
      <w:r w:rsidRPr="00C5177D">
        <w:rPr>
          <w:rFonts w:ascii="Times New Roman" w:eastAsia="Times New Roman" w:hAnsi="Times New Roman" w:cs="Times New Roman"/>
          <w:b/>
          <w:sz w:val="24"/>
          <w:szCs w:val="24"/>
          <w:lang w:eastAsia="pt-BR"/>
        </w:rPr>
        <w:t>Análise dos dados e resultados finais da pesquisa</w:t>
      </w:r>
      <w:r w:rsidR="00B445C4">
        <w:rPr>
          <w:rFonts w:ascii="Times New Roman" w:eastAsia="Times New Roman" w:hAnsi="Times New Roman" w:cs="Times New Roman"/>
          <w:b/>
          <w:sz w:val="24"/>
          <w:szCs w:val="24"/>
          <w:lang w:eastAsia="pt-BR"/>
        </w:rPr>
        <w:t xml:space="preserve">. </w:t>
      </w:r>
      <w:r w:rsidR="000C663D" w:rsidRPr="00C5177D">
        <w:rPr>
          <w:rFonts w:ascii="Times New Roman" w:hAnsi="Times New Roman" w:cs="Times New Roman"/>
          <w:sz w:val="24"/>
          <w:szCs w:val="24"/>
        </w:rPr>
        <w:t>Nesse sentido, desde o século XX, existe a necessidade de uma revisão dessa noção de herói vinculada ao homem branco, violento e heterossexual, conferindo a ele uma invenção de superioridade, materializada por exemplo em figuras que vão de Tarzan a Homer Simpsons. Desse modo, é essa perspectiva revisionista do lugar da mulher, bem como sua condição nas relações de gênero é que colocamos em pauta nesta discussão.</w:t>
      </w:r>
    </w:p>
    <w:p w14:paraId="70216916"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4CC96402" w14:textId="77777777" w:rsidR="00267193"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Relação do objeto de estudo com a pesquisa em Educação e eixo temático do COPED</w:t>
      </w:r>
    </w:p>
    <w:p w14:paraId="122B71CB" w14:textId="77777777" w:rsidR="00B445C4" w:rsidRPr="00B445C4" w:rsidRDefault="00B445C4" w:rsidP="00B445C4">
      <w:pPr>
        <w:spacing w:line="240" w:lineRule="auto"/>
        <w:jc w:val="both"/>
        <w:rPr>
          <w:rFonts w:ascii="Times New Roman" w:hAnsi="Times New Roman" w:cs="Times New Roman"/>
          <w:sz w:val="24"/>
          <w:szCs w:val="24"/>
        </w:rPr>
      </w:pPr>
      <w:r w:rsidRPr="00B445C4">
        <w:rPr>
          <w:rFonts w:ascii="Times New Roman" w:hAnsi="Times New Roman" w:cs="Times New Roman"/>
          <w:sz w:val="24"/>
          <w:szCs w:val="24"/>
        </w:rPr>
        <w:t xml:space="preserve">A discussão se justifica, pois diante das transformações históricas que marcaram o século XX, a feminilidade se tornou presente na obra e o relevo da apresentação científica de suas contradições se faz salutar. </w:t>
      </w:r>
    </w:p>
    <w:p w14:paraId="099FA510" w14:textId="77777777" w:rsidR="000C663D" w:rsidRPr="00C5177D" w:rsidRDefault="000C663D">
      <w:pPr>
        <w:spacing w:after="0" w:line="240" w:lineRule="auto"/>
        <w:jc w:val="both"/>
        <w:rPr>
          <w:rFonts w:ascii="Times New Roman" w:eastAsia="Times New Roman" w:hAnsi="Times New Roman" w:cs="Times New Roman"/>
          <w:b/>
          <w:sz w:val="24"/>
          <w:szCs w:val="24"/>
          <w:lang w:eastAsia="pt-BR"/>
        </w:rPr>
      </w:pPr>
    </w:p>
    <w:p w14:paraId="76786A3E" w14:textId="3561F278" w:rsidR="00267193"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Considerações finais</w:t>
      </w:r>
    </w:p>
    <w:p w14:paraId="206FD48D" w14:textId="7D39DE17" w:rsidR="00B445C4" w:rsidRPr="00B445C4" w:rsidRDefault="00B445C4">
      <w:pPr>
        <w:spacing w:after="0" w:line="240" w:lineRule="auto"/>
        <w:jc w:val="both"/>
        <w:rPr>
          <w:rFonts w:ascii="Times New Roman" w:eastAsia="Times New Roman" w:hAnsi="Times New Roman" w:cs="Times New Roman"/>
          <w:b/>
          <w:sz w:val="28"/>
          <w:szCs w:val="28"/>
          <w:lang w:eastAsia="pt-BR"/>
        </w:rPr>
      </w:pPr>
      <w:r w:rsidRPr="00B445C4">
        <w:rPr>
          <w:rFonts w:ascii="Times New Roman" w:hAnsi="Times New Roman" w:cs="Times New Roman"/>
          <w:sz w:val="24"/>
          <w:szCs w:val="24"/>
        </w:rPr>
        <w:t>Para tanto, por meio do uso de conceitos da teoria das mídias digitais e de gênero, problematizaremos a construção e as ações das mulheres na trama audiovisual.</w:t>
      </w:r>
    </w:p>
    <w:p w14:paraId="0490C7C9" w14:textId="77777777" w:rsidR="00267193" w:rsidRPr="00C5177D" w:rsidRDefault="00267193">
      <w:pPr>
        <w:spacing w:after="0" w:line="240" w:lineRule="auto"/>
        <w:jc w:val="both"/>
        <w:rPr>
          <w:rFonts w:ascii="Times New Roman" w:eastAsia="Times New Roman" w:hAnsi="Times New Roman" w:cs="Times New Roman"/>
          <w:b/>
          <w:sz w:val="24"/>
          <w:szCs w:val="24"/>
          <w:lang w:eastAsia="pt-BR"/>
        </w:rPr>
      </w:pPr>
    </w:p>
    <w:p w14:paraId="414D15DA" w14:textId="77777777" w:rsidR="00267193" w:rsidRPr="00C5177D" w:rsidRDefault="00000000">
      <w:pPr>
        <w:spacing w:after="0" w:line="240" w:lineRule="auto"/>
        <w:jc w:val="both"/>
        <w:rPr>
          <w:rFonts w:ascii="Times New Roman" w:eastAsia="Times New Roman" w:hAnsi="Times New Roman" w:cs="Times New Roman"/>
          <w:b/>
          <w:sz w:val="24"/>
          <w:szCs w:val="24"/>
          <w:lang w:eastAsia="pt-BR"/>
        </w:rPr>
      </w:pPr>
      <w:r w:rsidRPr="00C5177D">
        <w:rPr>
          <w:rFonts w:ascii="Times New Roman" w:eastAsia="Times New Roman" w:hAnsi="Times New Roman" w:cs="Times New Roman"/>
          <w:b/>
          <w:sz w:val="24"/>
          <w:szCs w:val="24"/>
          <w:lang w:eastAsia="pt-BR"/>
        </w:rPr>
        <w:t>Referências</w:t>
      </w:r>
    </w:p>
    <w:p w14:paraId="39C31559" w14:textId="77777777" w:rsidR="000C663D" w:rsidRPr="00C5177D" w:rsidRDefault="000C663D">
      <w:pPr>
        <w:spacing w:after="0" w:line="240" w:lineRule="auto"/>
        <w:jc w:val="both"/>
        <w:rPr>
          <w:rFonts w:ascii="Times New Roman" w:eastAsia="Times New Roman" w:hAnsi="Times New Roman" w:cs="Times New Roman"/>
          <w:b/>
          <w:sz w:val="24"/>
          <w:szCs w:val="24"/>
          <w:lang w:eastAsia="pt-BR"/>
        </w:rPr>
      </w:pPr>
    </w:p>
    <w:p w14:paraId="75CF8B5B" w14:textId="30810356" w:rsidR="000C663D" w:rsidRPr="00C5177D" w:rsidRDefault="000C663D" w:rsidP="000C663D">
      <w:pPr>
        <w:shd w:val="clear" w:color="auto" w:fill="FFFFFF"/>
        <w:rPr>
          <w:rFonts w:ascii="Times New Roman" w:hAnsi="Times New Roman" w:cs="Times New Roman"/>
          <w:sz w:val="24"/>
          <w:szCs w:val="24"/>
        </w:rPr>
      </w:pPr>
      <w:r w:rsidRPr="00C5177D">
        <w:rPr>
          <w:rFonts w:ascii="Times New Roman" w:hAnsi="Times New Roman" w:cs="Times New Roman"/>
          <w:sz w:val="24"/>
          <w:szCs w:val="24"/>
          <w:shd w:val="clear" w:color="auto" w:fill="FFFFFF"/>
        </w:rPr>
        <w:t>ALMEIDA, Tayná P. de, PEREIRA, Camila C. Q. “A representação da mulher nas séries de televisão</w:t>
      </w:r>
      <w:r w:rsidRPr="00C5177D">
        <w:rPr>
          <w:rFonts w:ascii="Times New Roman" w:hAnsi="Times New Roman" w:cs="Times New Roman"/>
          <w:i/>
          <w:sz w:val="24"/>
          <w:szCs w:val="24"/>
          <w:shd w:val="clear" w:color="auto" w:fill="FFFFFF"/>
        </w:rPr>
        <w:t>”. Revista DisSol.</w:t>
      </w:r>
      <w:r w:rsidRPr="00C5177D">
        <w:rPr>
          <w:rFonts w:ascii="Times New Roman" w:hAnsi="Times New Roman" w:cs="Times New Roman"/>
          <w:sz w:val="24"/>
          <w:szCs w:val="24"/>
          <w:shd w:val="clear" w:color="auto" w:fill="FFFFFF"/>
        </w:rPr>
        <w:t xml:space="preserve"> </w:t>
      </w:r>
      <w:r w:rsidRPr="00C5177D">
        <w:rPr>
          <w:rFonts w:ascii="Times New Roman" w:hAnsi="Times New Roman" w:cs="Times New Roman"/>
          <w:sz w:val="24"/>
          <w:szCs w:val="24"/>
        </w:rPr>
        <w:t xml:space="preserve">Pouso Alegre, ano VII , nº 11, jan-jun/2020. Acesso em 01 de abril de 2024 </w:t>
      </w:r>
      <w:hyperlink r:id="rId6" w:history="1">
        <w:r w:rsidRPr="00C5177D">
          <w:rPr>
            <w:rStyle w:val="Hyperlink"/>
            <w:rFonts w:ascii="Times New Roman" w:hAnsi="Times New Roman" w:cs="Times New Roman"/>
            <w:sz w:val="24"/>
            <w:szCs w:val="24"/>
          </w:rPr>
          <w:t>http://ojs.univas.edu.br/index.php/revistadissol/article/view/734/433</w:t>
        </w:r>
      </w:hyperlink>
    </w:p>
    <w:p w14:paraId="54756E16" w14:textId="175F2474" w:rsidR="000C663D" w:rsidRPr="00C5177D" w:rsidRDefault="000C663D" w:rsidP="000C663D">
      <w:pPr>
        <w:shd w:val="clear" w:color="auto" w:fill="FFFFFF"/>
        <w:spacing w:line="262" w:lineRule="atLeast"/>
        <w:jc w:val="both"/>
        <w:rPr>
          <w:rFonts w:ascii="Times New Roman" w:hAnsi="Times New Roman" w:cs="Times New Roman"/>
          <w:sz w:val="24"/>
          <w:szCs w:val="24"/>
        </w:rPr>
      </w:pPr>
      <w:r w:rsidRPr="00C5177D">
        <w:rPr>
          <w:rFonts w:ascii="Times New Roman" w:hAnsi="Times New Roman" w:cs="Times New Roman"/>
          <w:sz w:val="24"/>
          <w:szCs w:val="24"/>
        </w:rPr>
        <w:t xml:space="preserve">ARENDT, H. </w:t>
      </w:r>
      <w:r w:rsidRPr="00C5177D">
        <w:rPr>
          <w:rFonts w:ascii="Times New Roman" w:hAnsi="Times New Roman" w:cs="Times New Roman"/>
          <w:i/>
          <w:sz w:val="24"/>
          <w:szCs w:val="24"/>
        </w:rPr>
        <w:t>A Condição Humana.</w:t>
      </w:r>
      <w:r w:rsidRPr="00C5177D">
        <w:rPr>
          <w:rFonts w:ascii="Times New Roman" w:hAnsi="Times New Roman" w:cs="Times New Roman"/>
          <w:b/>
          <w:sz w:val="24"/>
          <w:szCs w:val="24"/>
        </w:rPr>
        <w:t xml:space="preserve"> </w:t>
      </w:r>
      <w:r w:rsidRPr="00C5177D">
        <w:rPr>
          <w:rFonts w:ascii="Times New Roman" w:hAnsi="Times New Roman" w:cs="Times New Roman"/>
          <w:sz w:val="24"/>
          <w:szCs w:val="24"/>
        </w:rPr>
        <w:t>Tradução Roberto Raposo. Revisão técnica Adriano Correia- 13 ed. Rio de Janeiro: Forense, [1958] 2020.</w:t>
      </w:r>
    </w:p>
    <w:p w14:paraId="6B3C1D2D" w14:textId="3806445E" w:rsidR="000C663D" w:rsidRPr="00C5177D" w:rsidRDefault="000C663D" w:rsidP="000C663D">
      <w:pPr>
        <w:jc w:val="both"/>
        <w:rPr>
          <w:rFonts w:ascii="Times New Roman" w:hAnsi="Times New Roman" w:cs="Times New Roman"/>
          <w:sz w:val="24"/>
          <w:szCs w:val="24"/>
        </w:rPr>
      </w:pPr>
      <w:r w:rsidRPr="00C5177D">
        <w:rPr>
          <w:rFonts w:ascii="Times New Roman" w:hAnsi="Times New Roman" w:cs="Times New Roman"/>
          <w:sz w:val="24"/>
          <w:szCs w:val="24"/>
        </w:rPr>
        <w:t xml:space="preserve">ARENDT, Hannah. </w:t>
      </w:r>
      <w:r w:rsidRPr="00C5177D">
        <w:rPr>
          <w:rFonts w:ascii="Times New Roman" w:hAnsi="Times New Roman" w:cs="Times New Roman"/>
          <w:i/>
          <w:sz w:val="24"/>
          <w:szCs w:val="24"/>
        </w:rPr>
        <w:t>As origens do totalitarismo.</w:t>
      </w:r>
      <w:r w:rsidRPr="00C5177D">
        <w:rPr>
          <w:rFonts w:ascii="Times New Roman" w:hAnsi="Times New Roman" w:cs="Times New Roman"/>
          <w:sz w:val="24"/>
          <w:szCs w:val="24"/>
        </w:rPr>
        <w:t xml:space="preserve"> Anti-semitismo, imperialismo, totalitarismo. Cia das Letras, São Paulo, 1991.</w:t>
      </w:r>
    </w:p>
    <w:p w14:paraId="14043615" w14:textId="637995E6" w:rsidR="000C663D" w:rsidRPr="00C5177D" w:rsidRDefault="000C663D" w:rsidP="000C663D">
      <w:pPr>
        <w:jc w:val="both"/>
        <w:rPr>
          <w:rStyle w:val="group-doi"/>
          <w:rFonts w:ascii="Times New Roman" w:hAnsi="Times New Roman" w:cs="Times New Roman"/>
          <w:sz w:val="24"/>
          <w:szCs w:val="24"/>
          <w:shd w:val="clear" w:color="auto" w:fill="FFFFFF"/>
        </w:rPr>
      </w:pPr>
      <w:r w:rsidRPr="00C5177D">
        <w:rPr>
          <w:rFonts w:ascii="Times New Roman" w:hAnsi="Times New Roman" w:cs="Times New Roman"/>
          <w:iCs/>
          <w:sz w:val="24"/>
          <w:szCs w:val="24"/>
          <w:shd w:val="clear" w:color="auto" w:fill="FFFFFF"/>
        </w:rPr>
        <w:t xml:space="preserve">DE BRAGANÇA, Maurício. Registros documentais no cinema da Revolução Mexicana. In: </w:t>
      </w:r>
      <w:r w:rsidRPr="00C5177D">
        <w:rPr>
          <w:rStyle w:val="articlebadge"/>
          <w:rFonts w:ascii="Times New Roman" w:hAnsi="Times New Roman" w:cs="Times New Roman"/>
          <w:bCs/>
          <w:i/>
          <w:sz w:val="24"/>
          <w:szCs w:val="24"/>
          <w:shd w:val="clear" w:color="auto" w:fill="FFFFFF"/>
        </w:rPr>
        <w:t>História e Cultura Visual</w:t>
      </w:r>
      <w:r w:rsidRPr="00C5177D">
        <w:rPr>
          <w:rStyle w:val="separator"/>
          <w:rFonts w:ascii="Times New Roman" w:hAnsi="Times New Roman" w:cs="Times New Roman"/>
          <w:sz w:val="24"/>
          <w:szCs w:val="24"/>
          <w:shd w:val="clear" w:color="auto" w:fill="FFFFFF"/>
        </w:rPr>
        <w:t> • </w:t>
      </w:r>
      <w:r w:rsidRPr="00C5177D">
        <w:rPr>
          <w:rStyle w:val="editionmeta"/>
          <w:rFonts w:ascii="Times New Roman" w:hAnsi="Times New Roman" w:cs="Times New Roman"/>
          <w:sz w:val="24"/>
          <w:szCs w:val="24"/>
          <w:shd w:val="clear" w:color="auto" w:fill="FFFFFF"/>
        </w:rPr>
        <w:t>História 26 (2) </w:t>
      </w:r>
      <w:r w:rsidRPr="00C5177D">
        <w:rPr>
          <w:rStyle w:val="separator"/>
          <w:rFonts w:ascii="Times New Roman" w:hAnsi="Times New Roman" w:cs="Times New Roman"/>
          <w:sz w:val="24"/>
          <w:szCs w:val="24"/>
          <w:shd w:val="clear" w:color="auto" w:fill="FFFFFF"/>
        </w:rPr>
        <w:t>• </w:t>
      </w:r>
      <w:r w:rsidRPr="00C5177D">
        <w:rPr>
          <w:rStyle w:val="editionmeta"/>
          <w:rFonts w:ascii="Times New Roman" w:hAnsi="Times New Roman" w:cs="Times New Roman"/>
          <w:sz w:val="24"/>
          <w:szCs w:val="24"/>
          <w:shd w:val="clear" w:color="auto" w:fill="FFFFFF"/>
        </w:rPr>
        <w:t>2007</w:t>
      </w:r>
      <w:r w:rsidRPr="00C5177D">
        <w:rPr>
          <w:rStyle w:val="separator"/>
          <w:rFonts w:ascii="Times New Roman" w:hAnsi="Times New Roman" w:cs="Times New Roman"/>
          <w:sz w:val="24"/>
          <w:szCs w:val="24"/>
          <w:shd w:val="clear" w:color="auto" w:fill="FFFFFF"/>
        </w:rPr>
        <w:t> • </w:t>
      </w:r>
      <w:hyperlink r:id="rId7" w:tgtFrame="_blank" w:history="1">
        <w:r w:rsidRPr="00C5177D">
          <w:rPr>
            <w:rStyle w:val="Hyperlink"/>
            <w:rFonts w:ascii="Times New Roman" w:hAnsi="Times New Roman" w:cs="Times New Roman"/>
            <w:sz w:val="24"/>
            <w:szCs w:val="24"/>
          </w:rPr>
          <w:t>https://doi.org/10.1590/S0101-90742007000200008</w:t>
        </w:r>
      </w:hyperlink>
      <w:r w:rsidRPr="00C5177D">
        <w:rPr>
          <w:rStyle w:val="group-doi"/>
          <w:rFonts w:ascii="Times New Roman" w:hAnsi="Times New Roman" w:cs="Times New Roman"/>
          <w:sz w:val="24"/>
          <w:szCs w:val="24"/>
          <w:shd w:val="clear" w:color="auto" w:fill="FFFFFF"/>
        </w:rPr>
        <w:t> </w:t>
      </w:r>
    </w:p>
    <w:p w14:paraId="67A8134E" w14:textId="4A788AE5" w:rsidR="000C663D" w:rsidRPr="00C5177D" w:rsidRDefault="000C663D" w:rsidP="000C663D">
      <w:pPr>
        <w:jc w:val="both"/>
        <w:rPr>
          <w:rFonts w:ascii="Times New Roman" w:hAnsi="Times New Roman" w:cs="Times New Roman"/>
          <w:color w:val="000000"/>
          <w:sz w:val="24"/>
          <w:szCs w:val="24"/>
        </w:rPr>
      </w:pPr>
      <w:r w:rsidRPr="00C5177D">
        <w:rPr>
          <w:rFonts w:ascii="Times New Roman" w:hAnsi="Times New Roman" w:cs="Times New Roman"/>
          <w:color w:val="000000"/>
          <w:sz w:val="24"/>
          <w:szCs w:val="24"/>
        </w:rPr>
        <w:lastRenderedPageBreak/>
        <w:t xml:space="preserve">GOMES, Paulo Emílio Sales. A personagem cinematográfica. </w:t>
      </w:r>
      <w:r w:rsidRPr="00C5177D">
        <w:rPr>
          <w:rFonts w:ascii="Times New Roman" w:hAnsi="Times New Roman" w:cs="Times New Roman"/>
          <w:color w:val="000000"/>
          <w:sz w:val="24"/>
          <w:szCs w:val="24"/>
          <w:lang w:val="en-US"/>
        </w:rPr>
        <w:t xml:space="preserve">In: CANDIDO, Antonio et all.  </w:t>
      </w:r>
      <w:r w:rsidRPr="00C5177D">
        <w:rPr>
          <w:rFonts w:ascii="Times New Roman" w:hAnsi="Times New Roman" w:cs="Times New Roman"/>
          <w:i/>
          <w:color w:val="000000"/>
          <w:sz w:val="24"/>
          <w:szCs w:val="24"/>
        </w:rPr>
        <w:t>A personagem de ficção.</w:t>
      </w:r>
      <w:r w:rsidRPr="00C5177D">
        <w:rPr>
          <w:rFonts w:ascii="Times New Roman" w:hAnsi="Times New Roman" w:cs="Times New Roman"/>
          <w:color w:val="000000"/>
          <w:sz w:val="24"/>
          <w:szCs w:val="24"/>
        </w:rPr>
        <w:t xml:space="preserve"> São Paulo: Perspectiva, 2005</w:t>
      </w:r>
    </w:p>
    <w:p w14:paraId="41713AB4" w14:textId="49D31172" w:rsidR="000C663D" w:rsidRPr="001565C3" w:rsidRDefault="000C663D" w:rsidP="000C663D">
      <w:pPr>
        <w:jc w:val="both"/>
        <w:rPr>
          <w:rStyle w:val="nfase"/>
          <w:rFonts w:ascii="Times New Roman" w:hAnsi="Times New Roman" w:cs="Times New Roman"/>
          <w:i w:val="0"/>
          <w:iCs w:val="0"/>
          <w:sz w:val="24"/>
          <w:szCs w:val="24"/>
          <w:shd w:val="clear" w:color="auto" w:fill="FFFFFF"/>
        </w:rPr>
      </w:pPr>
      <w:r w:rsidRPr="00C5177D">
        <w:rPr>
          <w:rFonts w:ascii="Times New Roman" w:hAnsi="Times New Roman" w:cs="Times New Roman"/>
          <w:iCs/>
          <w:sz w:val="24"/>
          <w:szCs w:val="24"/>
          <w:shd w:val="clear" w:color="auto" w:fill="FFFFFF"/>
        </w:rPr>
        <w:t xml:space="preserve">HOBSBAWM, Eric. </w:t>
      </w:r>
      <w:r w:rsidRPr="00C5177D">
        <w:rPr>
          <w:rFonts w:ascii="Times New Roman" w:hAnsi="Times New Roman" w:cs="Times New Roman"/>
          <w:i/>
          <w:iCs/>
          <w:sz w:val="24"/>
          <w:szCs w:val="24"/>
          <w:shd w:val="clear" w:color="auto" w:fill="FFFFFF"/>
        </w:rPr>
        <w:t>Bandidos.</w:t>
      </w:r>
      <w:r w:rsidRPr="00C5177D">
        <w:rPr>
          <w:rFonts w:ascii="Times New Roman" w:hAnsi="Times New Roman" w:cs="Times New Roman"/>
          <w:sz w:val="24"/>
          <w:szCs w:val="24"/>
          <w:shd w:val="clear" w:color="auto" w:fill="FFFFFF"/>
        </w:rPr>
        <w:t> Rio de Janeiro: Forense Universitária, 1976</w:t>
      </w:r>
    </w:p>
    <w:p w14:paraId="202ACA88" w14:textId="6927316B" w:rsidR="000C663D" w:rsidRPr="00C5177D" w:rsidRDefault="000C663D" w:rsidP="000C663D">
      <w:pPr>
        <w:jc w:val="both"/>
        <w:rPr>
          <w:rFonts w:ascii="Times New Roman" w:hAnsi="Times New Roman" w:cs="Times New Roman"/>
          <w:sz w:val="24"/>
          <w:szCs w:val="24"/>
          <w:shd w:val="clear" w:color="auto" w:fill="FFFFFF"/>
        </w:rPr>
      </w:pPr>
      <w:r w:rsidRPr="00C5177D">
        <w:rPr>
          <w:rStyle w:val="nfase"/>
          <w:rFonts w:ascii="Times New Roman" w:hAnsi="Times New Roman" w:cs="Times New Roman"/>
          <w:bCs/>
          <w:sz w:val="24"/>
          <w:szCs w:val="24"/>
          <w:shd w:val="clear" w:color="auto" w:fill="FFFFFF"/>
        </w:rPr>
        <w:t>HOBSBAWM</w:t>
      </w:r>
      <w:r w:rsidRPr="00C5177D">
        <w:rPr>
          <w:rFonts w:ascii="Times New Roman" w:hAnsi="Times New Roman" w:cs="Times New Roman"/>
          <w:sz w:val="24"/>
          <w:szCs w:val="24"/>
          <w:shd w:val="clear" w:color="auto" w:fill="FFFFFF"/>
        </w:rPr>
        <w:t>, E. J. </w:t>
      </w:r>
      <w:r w:rsidRPr="00C5177D">
        <w:rPr>
          <w:rStyle w:val="nfase"/>
          <w:rFonts w:ascii="Times New Roman" w:hAnsi="Times New Roman" w:cs="Times New Roman"/>
          <w:bCs/>
          <w:sz w:val="24"/>
          <w:szCs w:val="24"/>
          <w:shd w:val="clear" w:color="auto" w:fill="FFFFFF"/>
        </w:rPr>
        <w:t>Era dos extremos</w:t>
      </w:r>
      <w:r w:rsidRPr="00C5177D">
        <w:rPr>
          <w:rFonts w:ascii="Times New Roman" w:hAnsi="Times New Roman" w:cs="Times New Roman"/>
          <w:sz w:val="24"/>
          <w:szCs w:val="24"/>
          <w:shd w:val="clear" w:color="auto" w:fill="FFFFFF"/>
        </w:rPr>
        <w:t>. São Paulo: Cia. das Letras, 2003.</w:t>
      </w:r>
    </w:p>
    <w:p w14:paraId="71860400" w14:textId="0D755414" w:rsidR="000C663D" w:rsidRPr="00C5177D" w:rsidRDefault="000C663D" w:rsidP="000C663D">
      <w:pPr>
        <w:jc w:val="both"/>
        <w:rPr>
          <w:rFonts w:ascii="Times New Roman" w:hAnsi="Times New Roman" w:cs="Times New Roman"/>
          <w:sz w:val="24"/>
          <w:szCs w:val="24"/>
        </w:rPr>
      </w:pPr>
      <w:r w:rsidRPr="00C5177D">
        <w:rPr>
          <w:rFonts w:ascii="Times New Roman" w:hAnsi="Times New Roman" w:cs="Times New Roman"/>
          <w:sz w:val="24"/>
          <w:szCs w:val="24"/>
        </w:rPr>
        <w:t>NOLASCO, S. O apagão da masculinidade? In</w:t>
      </w:r>
      <w:r w:rsidRPr="00C5177D">
        <w:rPr>
          <w:rFonts w:ascii="Times New Roman" w:hAnsi="Times New Roman" w:cs="Times New Roman"/>
          <w:i/>
          <w:sz w:val="24"/>
          <w:szCs w:val="24"/>
        </w:rPr>
        <w:t>: Trabalho e Sociedade</w:t>
      </w:r>
      <w:r w:rsidRPr="00C5177D">
        <w:rPr>
          <w:rFonts w:ascii="Times New Roman" w:hAnsi="Times New Roman" w:cs="Times New Roman"/>
          <w:b/>
          <w:sz w:val="24"/>
          <w:szCs w:val="24"/>
        </w:rPr>
        <w:t>.</w:t>
      </w:r>
      <w:r w:rsidRPr="00C5177D">
        <w:rPr>
          <w:rFonts w:ascii="Times New Roman" w:hAnsi="Times New Roman" w:cs="Times New Roman"/>
          <w:sz w:val="24"/>
          <w:szCs w:val="24"/>
        </w:rPr>
        <w:t xml:space="preserve"> Rio de Janeiro: Ano 1 - Nº 2, p. 9-16, 2001.</w:t>
      </w:r>
    </w:p>
    <w:p w14:paraId="2FE20764" w14:textId="51436FD1" w:rsidR="000C663D" w:rsidRPr="00C5177D" w:rsidRDefault="000C663D" w:rsidP="000C663D">
      <w:pPr>
        <w:shd w:val="clear" w:color="auto" w:fill="FFFFFF"/>
        <w:rPr>
          <w:rFonts w:ascii="Times New Roman" w:hAnsi="Times New Roman" w:cs="Times New Roman"/>
          <w:sz w:val="24"/>
          <w:szCs w:val="24"/>
        </w:rPr>
      </w:pPr>
      <w:r w:rsidRPr="00C5177D">
        <w:rPr>
          <w:rFonts w:ascii="Times New Roman" w:hAnsi="Times New Roman" w:cs="Times New Roman"/>
          <w:sz w:val="24"/>
          <w:szCs w:val="24"/>
        </w:rPr>
        <w:t xml:space="preserve">SILVA, Sandro Luis. “O ethos discursivo em </w:t>
      </w:r>
      <w:r w:rsidRPr="00C5177D">
        <w:rPr>
          <w:rFonts w:ascii="Times New Roman" w:hAnsi="Times New Roman" w:cs="Times New Roman"/>
          <w:i/>
          <w:sz w:val="24"/>
          <w:szCs w:val="24"/>
        </w:rPr>
        <w:t>o Jornal das Senhoras</w:t>
      </w:r>
      <w:r w:rsidRPr="00C5177D">
        <w:rPr>
          <w:rFonts w:ascii="Times New Roman" w:hAnsi="Times New Roman" w:cs="Times New Roman"/>
          <w:sz w:val="24"/>
          <w:szCs w:val="24"/>
        </w:rPr>
        <w:t xml:space="preserve">: a  Voz feminina no século XIX”. </w:t>
      </w:r>
      <w:r w:rsidRPr="00C5177D">
        <w:rPr>
          <w:rFonts w:ascii="Times New Roman" w:hAnsi="Times New Roman" w:cs="Times New Roman"/>
          <w:i/>
          <w:sz w:val="24"/>
          <w:szCs w:val="24"/>
          <w:shd w:val="clear" w:color="auto" w:fill="FFFFFF"/>
        </w:rPr>
        <w:t>Revista DisSol</w:t>
      </w:r>
      <w:r w:rsidRPr="00C5177D">
        <w:rPr>
          <w:rFonts w:ascii="Times New Roman" w:hAnsi="Times New Roman" w:cs="Times New Roman"/>
          <w:i/>
          <w:sz w:val="24"/>
          <w:szCs w:val="24"/>
        </w:rPr>
        <w:t>.</w:t>
      </w:r>
      <w:r w:rsidRPr="00C5177D">
        <w:rPr>
          <w:rFonts w:ascii="Times New Roman" w:hAnsi="Times New Roman" w:cs="Times New Roman"/>
          <w:sz w:val="24"/>
          <w:szCs w:val="24"/>
        </w:rPr>
        <w:t xml:space="preserve"> Pouso Alegre (MG), ano 5, nº 9, jan-jun/2019 – ISSN 2359-219282. Acesso em 30 de março de 2024. </w:t>
      </w:r>
      <w:hyperlink r:id="rId8" w:history="1">
        <w:r w:rsidRPr="00C5177D">
          <w:rPr>
            <w:rStyle w:val="Hyperlink"/>
            <w:rFonts w:ascii="Times New Roman" w:hAnsi="Times New Roman" w:cs="Times New Roman"/>
            <w:sz w:val="24"/>
            <w:szCs w:val="24"/>
          </w:rPr>
          <w:t>http://ojs.univas.edu.br/index.php/revistadissol/article/view/536/331</w:t>
        </w:r>
      </w:hyperlink>
    </w:p>
    <w:p w14:paraId="0D426704" w14:textId="77777777" w:rsidR="000C663D" w:rsidRPr="00C5177D" w:rsidRDefault="000C663D" w:rsidP="000C663D">
      <w:pPr>
        <w:jc w:val="both"/>
        <w:rPr>
          <w:rFonts w:ascii="Times New Roman" w:hAnsi="Times New Roman" w:cs="Times New Roman"/>
          <w:sz w:val="24"/>
          <w:szCs w:val="24"/>
          <w:shd w:val="clear" w:color="auto" w:fill="FFFFFF"/>
        </w:rPr>
      </w:pPr>
      <w:r w:rsidRPr="00C5177D">
        <w:rPr>
          <w:rFonts w:ascii="Times New Roman" w:hAnsi="Times New Roman" w:cs="Times New Roman"/>
          <w:sz w:val="24"/>
          <w:szCs w:val="24"/>
          <w:shd w:val="clear" w:color="auto" w:fill="FFFFFF"/>
        </w:rPr>
        <w:t xml:space="preserve">TODOROV, Tzvetan. </w:t>
      </w:r>
      <w:r w:rsidRPr="00C5177D">
        <w:rPr>
          <w:rFonts w:ascii="Times New Roman" w:hAnsi="Times New Roman" w:cs="Times New Roman"/>
          <w:i/>
          <w:sz w:val="24"/>
          <w:szCs w:val="24"/>
          <w:shd w:val="clear" w:color="auto" w:fill="FFFFFF"/>
        </w:rPr>
        <w:t>A Conquista da América:</w:t>
      </w:r>
      <w:r w:rsidRPr="00C5177D">
        <w:rPr>
          <w:rFonts w:ascii="Times New Roman" w:hAnsi="Times New Roman" w:cs="Times New Roman"/>
          <w:sz w:val="24"/>
          <w:szCs w:val="24"/>
          <w:shd w:val="clear" w:color="auto" w:fill="FFFFFF"/>
        </w:rPr>
        <w:t xml:space="preserve"> a questão do outro. Tradução de Beatriz Perrone Moisés. São Paulo: Martins Fontes, 1993.</w:t>
      </w:r>
    </w:p>
    <w:p w14:paraId="4776B635" w14:textId="77777777" w:rsidR="000C663D" w:rsidRPr="00C5177D" w:rsidRDefault="000C663D" w:rsidP="000C663D">
      <w:pPr>
        <w:spacing w:line="360" w:lineRule="auto"/>
        <w:ind w:hanging="2"/>
        <w:jc w:val="both"/>
        <w:rPr>
          <w:rFonts w:ascii="Times New Roman" w:hAnsi="Times New Roman" w:cs="Times New Roman"/>
          <w:sz w:val="24"/>
          <w:szCs w:val="24"/>
        </w:rPr>
      </w:pPr>
    </w:p>
    <w:p w14:paraId="612A04C0" w14:textId="77777777" w:rsidR="000C663D" w:rsidRPr="00C5177D" w:rsidRDefault="000C663D">
      <w:pPr>
        <w:spacing w:after="0" w:line="240" w:lineRule="auto"/>
        <w:jc w:val="both"/>
        <w:rPr>
          <w:rFonts w:ascii="Times New Roman" w:hAnsi="Times New Roman" w:cs="Times New Roman"/>
          <w:sz w:val="24"/>
          <w:szCs w:val="24"/>
        </w:rPr>
      </w:pPr>
    </w:p>
    <w:sectPr w:rsidR="000C663D" w:rsidRPr="00C5177D">
      <w:headerReference w:type="default" r:id="rId9"/>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4E70D" w14:textId="77777777" w:rsidR="002D021A" w:rsidRDefault="002D021A">
      <w:pPr>
        <w:spacing w:line="240" w:lineRule="auto"/>
      </w:pPr>
      <w:r>
        <w:separator/>
      </w:r>
    </w:p>
  </w:endnote>
  <w:endnote w:type="continuationSeparator" w:id="0">
    <w:p w14:paraId="3F52BFC4" w14:textId="77777777" w:rsidR="002D021A" w:rsidRDefault="002D0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8DCBC" w14:textId="77777777" w:rsidR="002D021A" w:rsidRDefault="002D021A">
      <w:pPr>
        <w:spacing w:after="0"/>
      </w:pPr>
      <w:r>
        <w:separator/>
      </w:r>
    </w:p>
  </w:footnote>
  <w:footnote w:type="continuationSeparator" w:id="0">
    <w:p w14:paraId="1B173DF0" w14:textId="77777777" w:rsidR="002D021A" w:rsidRDefault="002D02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67A4E" w14:textId="77777777" w:rsidR="00267193" w:rsidRDefault="00000000">
    <w:pPr>
      <w:pStyle w:val="Cabealho"/>
    </w:pPr>
    <w:r>
      <w:rPr>
        <w:noProof/>
      </w:rPr>
      <w:drawing>
        <wp:inline distT="0" distB="0" distL="114300" distR="114300" wp14:anchorId="35271F9E" wp14:editId="38F4C19F">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0C663D"/>
    <w:rsid w:val="001565C3"/>
    <w:rsid w:val="00172A27"/>
    <w:rsid w:val="00267193"/>
    <w:rsid w:val="002D021A"/>
    <w:rsid w:val="00677F30"/>
    <w:rsid w:val="006C28A2"/>
    <w:rsid w:val="007301B4"/>
    <w:rsid w:val="00741E2B"/>
    <w:rsid w:val="00926886"/>
    <w:rsid w:val="00B445C4"/>
    <w:rsid w:val="00B82A8F"/>
    <w:rsid w:val="00C5177D"/>
    <w:rsid w:val="1A894334"/>
    <w:rsid w:val="1EF63937"/>
    <w:rsid w:val="221653A0"/>
    <w:rsid w:val="22184B3D"/>
    <w:rsid w:val="25485496"/>
    <w:rsid w:val="27CD66DB"/>
    <w:rsid w:val="2A781B3D"/>
    <w:rsid w:val="2D0A23B4"/>
    <w:rsid w:val="35C9615A"/>
    <w:rsid w:val="39113C01"/>
    <w:rsid w:val="4AC02575"/>
    <w:rsid w:val="4B1D057D"/>
    <w:rsid w:val="4B8D7224"/>
    <w:rsid w:val="4DAD2754"/>
    <w:rsid w:val="51BA0143"/>
    <w:rsid w:val="59FB6197"/>
    <w:rsid w:val="5B5B3C9A"/>
    <w:rsid w:val="60FF12C0"/>
    <w:rsid w:val="64DA7F84"/>
    <w:rsid w:val="68F74436"/>
    <w:rsid w:val="6E68013B"/>
    <w:rsid w:val="704476BC"/>
    <w:rsid w:val="75DC28B3"/>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CE57"/>
  <w15:docId w15:val="{8A81EC55-D38E-460B-A113-2AD6A4A4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0C663D"/>
    <w:rPr>
      <w:i/>
      <w:iCs/>
    </w:rPr>
  </w:style>
  <w:style w:type="character" w:customStyle="1" w:styleId="articlebadge">
    <w:name w:val="_articlebadge"/>
    <w:basedOn w:val="Fontepargpadro"/>
    <w:rsid w:val="000C663D"/>
  </w:style>
  <w:style w:type="character" w:customStyle="1" w:styleId="separator">
    <w:name w:val="_separator"/>
    <w:basedOn w:val="Fontepargpadro"/>
    <w:rsid w:val="000C663D"/>
  </w:style>
  <w:style w:type="character" w:customStyle="1" w:styleId="editionmeta">
    <w:name w:val="_editionmeta"/>
    <w:basedOn w:val="Fontepargpadro"/>
    <w:rsid w:val="000C663D"/>
  </w:style>
  <w:style w:type="character" w:customStyle="1" w:styleId="group-doi">
    <w:name w:val="group-doi"/>
    <w:basedOn w:val="Fontepargpadro"/>
    <w:rsid w:val="000C6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200346">
      <w:bodyDiv w:val="1"/>
      <w:marLeft w:val="0"/>
      <w:marRight w:val="0"/>
      <w:marTop w:val="0"/>
      <w:marBottom w:val="0"/>
      <w:divBdr>
        <w:top w:val="none" w:sz="0" w:space="0" w:color="auto"/>
        <w:left w:val="none" w:sz="0" w:space="0" w:color="auto"/>
        <w:bottom w:val="none" w:sz="0" w:space="0" w:color="auto"/>
        <w:right w:val="none" w:sz="0" w:space="0" w:color="auto"/>
      </w:divBdr>
    </w:div>
    <w:div w:id="2098398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js.univas.edu.br/index.php/revistadissol/article/view/536/331" TargetMode="External"/><Relationship Id="rId3" Type="http://schemas.openxmlformats.org/officeDocument/2006/relationships/webSettings" Target="webSettings.xml"/><Relationship Id="rId7" Type="http://schemas.openxmlformats.org/officeDocument/2006/relationships/hyperlink" Target="https://doi.org/10.1590/S0101-907420070002000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js.univas.edu.br/index.php/revistadissol/article/view/734/43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1068</Words>
  <Characters>5772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Douglas Alves Moreira</cp:lastModifiedBy>
  <cp:revision>3</cp:revision>
  <dcterms:created xsi:type="dcterms:W3CDTF">2026-04-22T00:55:00Z</dcterms:created>
  <dcterms:modified xsi:type="dcterms:W3CDTF">2026-04-28T21:00:00Z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24152E41DFE74EF09D8A67CBDC02D763_13</vt:lpwstr>
  </property>
</Properties>
</file>