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48EC2" w14:textId="77777777" w:rsidR="00350AA2" w:rsidRDefault="00933DCD">
      <w:pPr>
        <w:tabs>
          <w:tab w:val="right" w:pos="8307"/>
        </w:tabs>
        <w:spacing w:line="276" w:lineRule="auto"/>
        <w:ind w:left="2" w:hanging="4"/>
        <w:jc w:val="center"/>
        <w:rPr>
          <w:rFonts w:ascii="Open Sans" w:eastAsia="Open Sans" w:hAnsi="Open Sans" w:cs="Open Sans"/>
          <w:b/>
          <w:sz w:val="44"/>
          <w:szCs w:val="44"/>
        </w:rPr>
      </w:pPr>
      <w:r>
        <w:rPr>
          <w:rFonts w:ascii="Open Sans" w:eastAsia="Open Sans" w:hAnsi="Open Sans" w:cs="Open Sans"/>
          <w:b/>
          <w:sz w:val="40"/>
          <w:szCs w:val="40"/>
        </w:rPr>
        <w:t>INFLUÊNCIA DO BRINCAR NO DESENVOLVIMENTO DAS CRIANÇAS NO PAPU: um estudo de caso</w:t>
      </w:r>
    </w:p>
    <w:p w14:paraId="2DD5914D" w14:textId="77777777" w:rsidR="00350AA2" w:rsidRDefault="00350AA2">
      <w:pPr>
        <w:spacing w:line="276" w:lineRule="auto"/>
        <w:jc w:val="right"/>
        <w:rPr>
          <w:rFonts w:ascii="Open Sans" w:eastAsia="Open Sans" w:hAnsi="Open Sans" w:cs="Open Sans"/>
          <w:sz w:val="8"/>
          <w:szCs w:val="8"/>
        </w:rPr>
      </w:pPr>
    </w:p>
    <w:p w14:paraId="7534153B" w14:textId="77777777" w:rsidR="00350AA2" w:rsidRDefault="00933DCD">
      <w:pPr>
        <w:spacing w:line="276" w:lineRule="auto"/>
        <w:ind w:left="0" w:hanging="2"/>
        <w:jc w:val="right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Mayra Cristina Sousa Dias,</w:t>
      </w:r>
      <w:r>
        <w:rPr>
          <w:rFonts w:ascii="Open Sans" w:eastAsia="Open Sans" w:hAnsi="Open Sans" w:cs="Open Sans"/>
          <w:sz w:val="24"/>
          <w:szCs w:val="24"/>
        </w:rPr>
        <w:t xml:space="preserve"> Universidade Federal do Norte do Tocantins, </w:t>
      </w:r>
      <w:hyperlink r:id="rId8">
        <w:r>
          <w:rPr>
            <w:rFonts w:ascii="Open Sans" w:eastAsia="Open Sans" w:hAnsi="Open Sans" w:cs="Open Sans"/>
            <w:sz w:val="24"/>
            <w:szCs w:val="24"/>
            <w:u w:val="single"/>
          </w:rPr>
          <w:t>mayra.dias@ufnt.edu.br</w:t>
        </w:r>
      </w:hyperlink>
      <w:r>
        <w:rPr>
          <w:rFonts w:ascii="Open Sans" w:eastAsia="Open Sans" w:hAnsi="Open Sans" w:cs="Open Sans"/>
          <w:sz w:val="24"/>
          <w:szCs w:val="24"/>
        </w:rPr>
        <w:t>.</w:t>
      </w:r>
    </w:p>
    <w:p w14:paraId="6A1F659A" w14:textId="77777777" w:rsidR="00350AA2" w:rsidRDefault="00933DCD">
      <w:pPr>
        <w:spacing w:line="276" w:lineRule="auto"/>
        <w:ind w:left="0" w:hanging="2"/>
        <w:jc w:val="right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Maria José Guajajara Brito, </w:t>
      </w:r>
      <w:r>
        <w:rPr>
          <w:rFonts w:ascii="Open Sans" w:eastAsia="Open Sans" w:hAnsi="Open Sans" w:cs="Open Sans"/>
          <w:sz w:val="24"/>
          <w:szCs w:val="24"/>
        </w:rPr>
        <w:t xml:space="preserve">Universidade Federal do Norte do Tocantins, </w:t>
      </w:r>
      <w:hyperlink r:id="rId9">
        <w:r>
          <w:rPr>
            <w:rFonts w:ascii="Open Sans" w:eastAsia="Open Sans" w:hAnsi="Open Sans" w:cs="Open Sans"/>
            <w:sz w:val="24"/>
            <w:szCs w:val="24"/>
            <w:u w:val="single"/>
          </w:rPr>
          <w:t>maria.brito@ufnt.edu.br</w:t>
        </w:r>
      </w:hyperlink>
      <w:r>
        <w:rPr>
          <w:rFonts w:ascii="Open Sans" w:eastAsia="Open Sans" w:hAnsi="Open Sans" w:cs="Open Sans"/>
          <w:sz w:val="24"/>
          <w:szCs w:val="24"/>
        </w:rPr>
        <w:t>.</w:t>
      </w:r>
    </w:p>
    <w:p w14:paraId="5189B7CF" w14:textId="21FE4172" w:rsidR="00350AA2" w:rsidRDefault="00933DCD">
      <w:pPr>
        <w:spacing w:line="276" w:lineRule="auto"/>
        <w:ind w:left="0" w:hanging="2"/>
        <w:jc w:val="right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Melke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Fabiana Pereira de Sousa,</w:t>
      </w:r>
      <w:r>
        <w:rPr>
          <w:rFonts w:ascii="Open Sans" w:eastAsia="Open Sans" w:hAnsi="Open Sans" w:cs="Open Sans"/>
          <w:sz w:val="24"/>
          <w:szCs w:val="24"/>
        </w:rPr>
        <w:t xml:space="preserve"> Universidade Federal do Norte do </w:t>
      </w:r>
      <w:proofErr w:type="gramStart"/>
      <w:r>
        <w:rPr>
          <w:rFonts w:ascii="Open Sans" w:eastAsia="Open Sans" w:hAnsi="Open Sans" w:cs="Open Sans"/>
          <w:sz w:val="24"/>
          <w:szCs w:val="24"/>
        </w:rPr>
        <w:t xml:space="preserve">Tocantins,  </w:t>
      </w:r>
      <w:r w:rsidR="00E9432A">
        <w:rPr>
          <w:rFonts w:ascii="Open Sans" w:eastAsia="Open Sans" w:hAnsi="Open Sans" w:cs="Open Sans"/>
          <w:sz w:val="24"/>
          <w:szCs w:val="24"/>
        </w:rPr>
        <w:t>melke</w:t>
      </w:r>
      <w:r>
        <w:rPr>
          <w:rFonts w:ascii="Open Sans" w:eastAsia="Open Sans" w:hAnsi="Open Sans" w:cs="Open Sans"/>
          <w:sz w:val="24"/>
          <w:szCs w:val="24"/>
        </w:rPr>
        <w:t>.sousa@uf</w:t>
      </w:r>
      <w:r w:rsidR="00E9432A">
        <w:rPr>
          <w:rFonts w:ascii="Open Sans" w:eastAsia="Open Sans" w:hAnsi="Open Sans" w:cs="Open Sans"/>
          <w:sz w:val="24"/>
          <w:szCs w:val="24"/>
        </w:rPr>
        <w:t>n</w:t>
      </w:r>
      <w:r>
        <w:rPr>
          <w:rFonts w:ascii="Open Sans" w:eastAsia="Open Sans" w:hAnsi="Open Sans" w:cs="Open Sans"/>
          <w:sz w:val="24"/>
          <w:szCs w:val="24"/>
        </w:rPr>
        <w:t>t.edu.br</w:t>
      </w:r>
      <w:proofErr w:type="gramEnd"/>
      <w:r>
        <w:rPr>
          <w:rFonts w:ascii="Open Sans" w:eastAsia="Open Sans" w:hAnsi="Open Sans" w:cs="Open Sans"/>
          <w:sz w:val="24"/>
          <w:szCs w:val="24"/>
        </w:rPr>
        <w:t>.</w:t>
      </w:r>
    </w:p>
    <w:p w14:paraId="2B5D6B80" w14:textId="77777777" w:rsidR="00350AA2" w:rsidRDefault="00933DCD">
      <w:pPr>
        <w:spacing w:line="276" w:lineRule="auto"/>
        <w:ind w:left="0" w:hanging="2"/>
        <w:jc w:val="right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Carlie</w:t>
      </w:r>
      <w:r>
        <w:rPr>
          <w:rFonts w:ascii="Open Sans" w:eastAsia="Open Sans" w:hAnsi="Open Sans" w:cs="Open Sans"/>
          <w:b/>
          <w:sz w:val="24"/>
          <w:szCs w:val="24"/>
        </w:rPr>
        <w:t xml:space="preserve">ne Freitas da Silva Bernardes, </w:t>
      </w:r>
      <w:r>
        <w:rPr>
          <w:rFonts w:ascii="Open Sans" w:eastAsia="Open Sans" w:hAnsi="Open Sans" w:cs="Open Sans"/>
          <w:sz w:val="24"/>
          <w:szCs w:val="24"/>
        </w:rPr>
        <w:t xml:space="preserve">Universidade Federal do Norte do Tocantins, </w:t>
      </w:r>
      <w:hyperlink r:id="rId10">
        <w:r>
          <w:rPr>
            <w:rFonts w:ascii="Open Sans" w:eastAsia="Open Sans" w:hAnsi="Open Sans" w:cs="Open Sans"/>
            <w:sz w:val="24"/>
            <w:szCs w:val="24"/>
            <w:u w:val="single"/>
          </w:rPr>
          <w:t>carliene.freitas@ufnt.edu.br</w:t>
        </w:r>
      </w:hyperlink>
      <w:r>
        <w:rPr>
          <w:rFonts w:ascii="Open Sans" w:eastAsia="Open Sans" w:hAnsi="Open Sans" w:cs="Open Sans"/>
          <w:sz w:val="24"/>
          <w:szCs w:val="24"/>
        </w:rPr>
        <w:t xml:space="preserve">. </w:t>
      </w:r>
    </w:p>
    <w:p w14:paraId="39F1C52C" w14:textId="77777777" w:rsidR="00350AA2" w:rsidRDefault="00350AA2">
      <w:pPr>
        <w:spacing w:after="0" w:line="276" w:lineRule="auto"/>
        <w:ind w:left="0" w:hanging="2"/>
        <w:rPr>
          <w:rFonts w:ascii="Open Sans" w:eastAsia="Open Sans" w:hAnsi="Open Sans" w:cs="Open Sans"/>
        </w:rPr>
      </w:pPr>
    </w:p>
    <w:p w14:paraId="0B260141" w14:textId="77777777" w:rsidR="00350AA2" w:rsidRDefault="00933D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1" w:hanging="3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Resumo</w:t>
      </w:r>
    </w:p>
    <w:p w14:paraId="4C0ACD0A" w14:textId="77777777" w:rsidR="00350AA2" w:rsidRDefault="00933DCD">
      <w:pPr>
        <w:spacing w:before="0" w:after="0" w:line="24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trabalho descreve a influência das atividades lúdico-pedagógicas no desenvolvimento das crianças acolhidas no Programa de Apoio à Parentalidade na Universidade Federal do Norte do Tocantins (PAPU), em específico, no desenvolvimento de uma criança acolhid</w:t>
      </w:r>
      <w:r>
        <w:rPr>
          <w:rFonts w:ascii="Open Sans" w:eastAsia="Open Sans" w:hAnsi="Open Sans" w:cs="Open Sans"/>
        </w:rPr>
        <w:t xml:space="preserve">a pelo programa. O relato de experiência baseia-se nas observações realizadas pelas (os) monitoras(es) brincantes durante o acolhimento infantil realizado desde março de 2024. Das </w:t>
      </w:r>
      <w:proofErr w:type="gramStart"/>
      <w:r>
        <w:rPr>
          <w:rFonts w:ascii="Open Sans" w:eastAsia="Open Sans" w:hAnsi="Open Sans" w:cs="Open Sans"/>
        </w:rPr>
        <w:t>quinze(</w:t>
      </w:r>
      <w:proofErr w:type="gramEnd"/>
      <w:r>
        <w:rPr>
          <w:rFonts w:ascii="Open Sans" w:eastAsia="Open Sans" w:hAnsi="Open Sans" w:cs="Open Sans"/>
        </w:rPr>
        <w:t>15) crianças acolhidas regularmente no PAPU Tocantinópolis, o comport</w:t>
      </w:r>
      <w:r>
        <w:rPr>
          <w:rFonts w:ascii="Open Sans" w:eastAsia="Open Sans" w:hAnsi="Open Sans" w:cs="Open Sans"/>
        </w:rPr>
        <w:t>amento de uma delas se destacou pelo isolamento social e ausência de comunicação verbal. Durante as semanas de acolhimento, por meio do livre brincar e do brincar estruturado pelas(os) monitoras(es) brincantes, a criança conseguiu estabelecer interações co</w:t>
      </w:r>
      <w:r>
        <w:rPr>
          <w:rFonts w:ascii="Open Sans" w:eastAsia="Open Sans" w:hAnsi="Open Sans" w:cs="Open Sans"/>
        </w:rPr>
        <w:t>m outras crianças e com as monitoras nas atividades coletivas, mesmo com pouca comunicação verbal. As observações demonstram a importância do acolhimento no PAPU para o desenvolvimento das crianças, além de contribuir com a permanência de mães e pais enqua</w:t>
      </w:r>
      <w:r>
        <w:rPr>
          <w:rFonts w:ascii="Open Sans" w:eastAsia="Open Sans" w:hAnsi="Open Sans" w:cs="Open Sans"/>
        </w:rPr>
        <w:t xml:space="preserve">nto estudam e/ou trabalham na Universidade. </w:t>
      </w:r>
    </w:p>
    <w:p w14:paraId="5568DBD6" w14:textId="77777777" w:rsidR="00350AA2" w:rsidRDefault="00933DCD">
      <w:pPr>
        <w:spacing w:before="0" w:after="0" w:line="240" w:lineRule="auto"/>
        <w:ind w:left="0" w:hanging="2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</w:rPr>
        <w:t xml:space="preserve">Palavras-chave: </w:t>
      </w:r>
      <w:r>
        <w:rPr>
          <w:rFonts w:ascii="Open Sans" w:eastAsia="Open Sans" w:hAnsi="Open Sans" w:cs="Open Sans"/>
        </w:rPr>
        <w:t>Desenvolvimento Infantil, Brinquedos e Brincadeiras, Parentalidade, Educação Superior.</w:t>
      </w:r>
    </w:p>
    <w:p w14:paraId="32C68D77" w14:textId="77777777" w:rsidR="00350AA2" w:rsidRDefault="00933D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lastRenderedPageBreak/>
        <w:t>Introdução</w:t>
      </w:r>
    </w:p>
    <w:p w14:paraId="062DD737" w14:textId="0E020B99" w:rsidR="00350AA2" w:rsidRDefault="00485ED8">
      <w:pP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ab/>
      </w:r>
      <w:r w:rsidR="00933DCD">
        <w:rPr>
          <w:rFonts w:ascii="Open Sans" w:eastAsia="Open Sans" w:hAnsi="Open Sans" w:cs="Open Sans"/>
        </w:rPr>
        <w:tab/>
      </w:r>
      <w:r w:rsidR="00933DCD">
        <w:rPr>
          <w:rFonts w:ascii="Open Sans" w:eastAsia="Open Sans" w:hAnsi="Open Sans" w:cs="Open Sans"/>
        </w:rPr>
        <w:t>O PAPU (Programa de Apoio à Parentalidade na Universidade) é um programa institucional para a permanência estudantil, sob a coordenação de Gênero e Diversidade da Diretoria de Acessibilidade, Equidade e Políticas afirmativas - DAEP/UFNT, que visa acolher a</w:t>
      </w:r>
      <w:r w:rsidR="00933DCD">
        <w:rPr>
          <w:rFonts w:ascii="Open Sans" w:eastAsia="Open Sans" w:hAnsi="Open Sans" w:cs="Open Sans"/>
        </w:rPr>
        <w:t>s famílias universitárias por meio da oferta de infraestrutura física (banheiro família com sanitários infantis e fraldários; espaço amamentação; brinquedoteca; parquinhos infantis; acessibilidade com rampas e vagas de estacionamento) e a oferta de serviço</w:t>
      </w:r>
      <w:r w:rsidR="00933DCD">
        <w:rPr>
          <w:rFonts w:ascii="Open Sans" w:eastAsia="Open Sans" w:hAnsi="Open Sans" w:cs="Open Sans"/>
        </w:rPr>
        <w:t xml:space="preserve">s: acolhimento noturno e diurno de crianças de 3 a 11 anos com monitores brincantes, no período de aula regular e durante os eventos científicos; rodas de conversa com as famílias universitárias e a comunidade acadêmica; e formação continuada de monitores </w:t>
      </w:r>
      <w:r w:rsidR="00933DCD">
        <w:rPr>
          <w:rFonts w:ascii="Open Sans" w:eastAsia="Open Sans" w:hAnsi="Open Sans" w:cs="Open Sans"/>
        </w:rPr>
        <w:t>brincantes.</w:t>
      </w:r>
    </w:p>
    <w:p w14:paraId="27A60950" w14:textId="77777777" w:rsidR="00350AA2" w:rsidRDefault="00933DCD" w:rsidP="00485ED8">
      <w:pPr>
        <w:spacing w:before="0" w:after="0" w:line="360" w:lineRule="auto"/>
        <w:ind w:leftChars="0" w:left="0" w:firstLineChars="0" w:firstLine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PAPU tem sido implementado, de forma piloto, no Centro de Educação, Humanidades e Saúde de Tocantinópolis - CEHS. Desde 2023/2 são ofertados acolhimentos para os(as) filhos(as) dos estudantes e servidores na Brinquedoteca Mário de Andrade, na</w:t>
      </w:r>
      <w:r>
        <w:rPr>
          <w:rFonts w:ascii="Open Sans" w:eastAsia="Open Sans" w:hAnsi="Open Sans" w:cs="Open Sans"/>
        </w:rPr>
        <w:t xml:space="preserve"> Unidade Babaçu, e na Ciranda, Unidade Centro, no período noturno e diurno, enquanto desenvolvem suas atividades acadêmicas. O acolhimento é realizado com a presença de monitores(as) brincantes e tem-se mostrado eficiente para apoiar a permanência de mães </w:t>
      </w:r>
      <w:r>
        <w:rPr>
          <w:rFonts w:ascii="Open Sans" w:eastAsia="Open Sans" w:hAnsi="Open Sans" w:cs="Open Sans"/>
        </w:rPr>
        <w:t xml:space="preserve">e pais na Universidade, além de promover o desenvolvimento integral das crianças acolhidas. </w:t>
      </w:r>
    </w:p>
    <w:p w14:paraId="27BFFB9C" w14:textId="77777777" w:rsidR="00350AA2" w:rsidRDefault="00350AA2">
      <w:pPr>
        <w:spacing w:before="0" w:after="0" w:line="240" w:lineRule="auto"/>
        <w:ind w:left="0" w:hanging="2"/>
        <w:rPr>
          <w:rFonts w:ascii="Open Sans" w:eastAsia="Open Sans" w:hAnsi="Open Sans" w:cs="Open Sans"/>
        </w:rPr>
      </w:pPr>
      <w:bookmarkStart w:id="0" w:name="_heading=h.3znysh7" w:colFirst="0" w:colLast="0"/>
      <w:bookmarkEnd w:id="0"/>
    </w:p>
    <w:p w14:paraId="0B245655" w14:textId="77777777" w:rsidR="00350AA2" w:rsidRDefault="00933D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Objetivos</w:t>
      </w:r>
    </w:p>
    <w:p w14:paraId="0C10B95F" w14:textId="77777777" w:rsidR="00350AA2" w:rsidRDefault="00933DCD" w:rsidP="00485ED8">
      <w:pPr>
        <w:spacing w:before="0" w:after="0" w:line="360" w:lineRule="auto"/>
        <w:ind w:leftChars="0" w:left="0" w:firstLineChars="0" w:firstLine="720"/>
        <w:rPr>
          <w:rFonts w:ascii="Open Sans" w:eastAsia="Open Sans" w:hAnsi="Open Sans" w:cs="Open Sans"/>
        </w:rPr>
      </w:pPr>
      <w:bookmarkStart w:id="1" w:name="bookmark=id.2et92p0" w:colFirst="0" w:colLast="0"/>
      <w:bookmarkEnd w:id="1"/>
      <w:r>
        <w:rPr>
          <w:rFonts w:ascii="Open Sans" w:eastAsia="Open Sans" w:hAnsi="Open Sans" w:cs="Open Sans"/>
        </w:rPr>
        <w:t>O objetivo geral deste trabalho é descrever as influências das atividades lúdico-pedagógicas promovidas pelas(os) monitoras(es) brincantes no desenvolvi</w:t>
      </w:r>
      <w:r>
        <w:rPr>
          <w:rFonts w:ascii="Open Sans" w:eastAsia="Open Sans" w:hAnsi="Open Sans" w:cs="Open Sans"/>
        </w:rPr>
        <w:t xml:space="preserve">mento de crianças acolhidas pelo PAPU Tocantinópolis. De forma específica: busca apresentar o funcionamento do acolhimento das crianças de 3 a 11 anos no PAPU Tocantinópolis; </w:t>
      </w:r>
      <w:r>
        <w:rPr>
          <w:rFonts w:ascii="Open Sans" w:eastAsia="Open Sans" w:hAnsi="Open Sans" w:cs="Open Sans"/>
        </w:rPr>
        <w:lastRenderedPageBreak/>
        <w:t>apresentar as influências observadas, durante o acolhimento, no desenvolvimento f</w:t>
      </w:r>
      <w:r>
        <w:rPr>
          <w:rFonts w:ascii="Open Sans" w:eastAsia="Open Sans" w:hAnsi="Open Sans" w:cs="Open Sans"/>
        </w:rPr>
        <w:t xml:space="preserve">ísico-motor, cognitivo e psicossocial de uma criança acompanhada no PAPU Tocantinópolis. </w:t>
      </w:r>
    </w:p>
    <w:p w14:paraId="78A437B7" w14:textId="77777777" w:rsidR="00350AA2" w:rsidRDefault="00350AA2">
      <w:pPr>
        <w:spacing w:before="0" w:after="0" w:line="240" w:lineRule="auto"/>
        <w:ind w:left="0" w:hanging="2"/>
        <w:rPr>
          <w:rFonts w:ascii="Open Sans" w:eastAsia="Open Sans" w:hAnsi="Open Sans" w:cs="Open Sans"/>
        </w:rPr>
      </w:pPr>
    </w:p>
    <w:p w14:paraId="4EFA6F40" w14:textId="77777777" w:rsidR="00350AA2" w:rsidRDefault="00933D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Funcionamento do acolhimento infantil no PAPU Tocantinópolis</w:t>
      </w:r>
    </w:p>
    <w:p w14:paraId="788AC92E" w14:textId="77777777" w:rsidR="00350AA2" w:rsidRDefault="00933DCD" w:rsidP="00485ED8">
      <w:pPr>
        <w:spacing w:before="0" w:after="0" w:line="360" w:lineRule="auto"/>
        <w:ind w:leftChars="0" w:left="0" w:firstLineChars="0" w:firstLine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PAPU acolhe filhos(as) de estudantes e servidores com idades entre 03 à 11 anos de idade na Brinquedot</w:t>
      </w:r>
      <w:r>
        <w:rPr>
          <w:rFonts w:ascii="Open Sans" w:eastAsia="Open Sans" w:hAnsi="Open Sans" w:cs="Open Sans"/>
        </w:rPr>
        <w:t>eca Mário de Andrade e na Ciranda, espaços brincantes com acervo lúdico-pedagógico. No ano de 2024, estão sendo acolhidas em torno de quinze (15) crianças regularmente - de segunda à sexta das 18h30 às 21h45min e aos sábados das 8h às 11h. O Programa també</w:t>
      </w:r>
      <w:r>
        <w:rPr>
          <w:rFonts w:ascii="Open Sans" w:eastAsia="Open Sans" w:hAnsi="Open Sans" w:cs="Open Sans"/>
        </w:rPr>
        <w:t xml:space="preserve">m inclui até cinco crianças da comunidade que moram no entorno da Universidade. Além de realizar o acolhimento das crianças que acompanham as mães e pais durante os eventos científicos.   </w:t>
      </w:r>
    </w:p>
    <w:p w14:paraId="7F54EF3B" w14:textId="77777777" w:rsidR="00350AA2" w:rsidRDefault="00933DCD" w:rsidP="00485ED8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Chars="0" w:left="0" w:firstLineChars="0" w:firstLine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PAPU Tocantinópolis conta com uma equipe de nove (09) monitoras(es) brincantes, sendo seis bolsistas e três voluntárias. Eles são estudantes dos cursos de Pedagogia, Educação Física, Educação do Campo e Ciências Sociais. As(os) monitoras(es) são acompanh</w:t>
      </w:r>
      <w:r>
        <w:rPr>
          <w:rFonts w:ascii="Open Sans" w:eastAsia="Open Sans" w:hAnsi="Open Sans" w:cs="Open Sans"/>
        </w:rPr>
        <w:t xml:space="preserve">adas por uma supervisora local, docente do CEHS; por uma Pedagoga e pela coordenação de Gênero e Diversidade da DAEP.  </w:t>
      </w:r>
    </w:p>
    <w:p w14:paraId="786A9EA5" w14:textId="77777777" w:rsidR="00350AA2" w:rsidRDefault="00933DCD" w:rsidP="00485ED8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Chars="0" w:left="0" w:firstLineChars="0" w:firstLine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Às segundas-feiras, no período vespertino, as(os) monitoras(es) brincantes em conjunto com as coordenadoras do PAPU se reúnem para plane</w:t>
      </w:r>
      <w:r>
        <w:rPr>
          <w:rFonts w:ascii="Open Sans" w:eastAsia="Open Sans" w:hAnsi="Open Sans" w:cs="Open Sans"/>
        </w:rPr>
        <w:t>jar as atividades mensais e semanais, discutir as intercorrências, participar de formação continuada para promover uma melhor experiência às famílias e crianças acolhidas pelo Programa.</w:t>
      </w:r>
    </w:p>
    <w:p w14:paraId="2D5515A8" w14:textId="77777777" w:rsidR="00350AA2" w:rsidRDefault="00933DCD" w:rsidP="00485ED8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Chars="0" w:left="0" w:firstLineChars="0" w:firstLine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Cada acolhimento tem duração de 3 horas sendo realizado com a presença</w:t>
      </w:r>
      <w:r>
        <w:rPr>
          <w:rFonts w:ascii="Open Sans" w:eastAsia="Open Sans" w:hAnsi="Open Sans" w:cs="Open Sans"/>
        </w:rPr>
        <w:t xml:space="preserve"> de dois a três monitoras(es) brincantes. O acolhimento se estrutura em três momentos: 1) acolhimento das crianças com atividades de livre brincar, as crianças escolhem o brinquedo ou brincadeira e são acompanhadas pelas(os) monitoras(as); 2) intervalo par</w:t>
      </w:r>
      <w:r>
        <w:rPr>
          <w:rFonts w:ascii="Open Sans" w:eastAsia="Open Sans" w:hAnsi="Open Sans" w:cs="Open Sans"/>
        </w:rPr>
        <w:t>a lanche administrado pelas mães e pais durante o intervalo da aula; 3) atividades lúdico-</w:t>
      </w:r>
      <w:r>
        <w:rPr>
          <w:rFonts w:ascii="Open Sans" w:eastAsia="Open Sans" w:hAnsi="Open Sans" w:cs="Open Sans"/>
        </w:rPr>
        <w:lastRenderedPageBreak/>
        <w:t xml:space="preserve">pedagógicas estruturadas pelas(os) monitoras(es) brincantes, são atividades previamente planejadas com a intencionalidade de estimular, coletiva e individualmente, o </w:t>
      </w:r>
      <w:r>
        <w:rPr>
          <w:rFonts w:ascii="Open Sans" w:eastAsia="Open Sans" w:hAnsi="Open Sans" w:cs="Open Sans"/>
        </w:rPr>
        <w:t>desenvolvimento físico, cognitivo e psicossocial das crianças.</w:t>
      </w:r>
    </w:p>
    <w:p w14:paraId="342C8F4B" w14:textId="77777777" w:rsidR="00350AA2" w:rsidRDefault="00350AA2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</w:rPr>
      </w:pPr>
    </w:p>
    <w:p w14:paraId="2C82121B" w14:textId="77777777" w:rsidR="00350AA2" w:rsidRDefault="00933D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Influência das atividades lúdico-pedagógicas no desenvolvimento das crianças: um estudo de caso</w:t>
      </w:r>
    </w:p>
    <w:p w14:paraId="14FD51D4" w14:textId="77777777" w:rsidR="00350AA2" w:rsidRDefault="00933DCD" w:rsidP="00485ED8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Chars="0" w:left="0" w:firstLineChars="0" w:firstLine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Conforme </w:t>
      </w:r>
      <w:proofErr w:type="spellStart"/>
      <w:r>
        <w:rPr>
          <w:rFonts w:ascii="Open Sans" w:eastAsia="Open Sans" w:hAnsi="Open Sans" w:cs="Open Sans"/>
        </w:rPr>
        <w:t>Papalia</w:t>
      </w:r>
      <w:proofErr w:type="spellEnd"/>
      <w:r>
        <w:rPr>
          <w:rFonts w:ascii="Open Sans" w:eastAsia="Open Sans" w:hAnsi="Open Sans" w:cs="Open Sans"/>
        </w:rPr>
        <w:t xml:space="preserve"> e Feldman (2013), o ser humano se desenvolve nos aspectos físico, cognitivo e p</w:t>
      </w:r>
      <w:r>
        <w:rPr>
          <w:rFonts w:ascii="Open Sans" w:eastAsia="Open Sans" w:hAnsi="Open Sans" w:cs="Open Sans"/>
        </w:rPr>
        <w:t>sicossocial.  Esse desenvolvimento sofre influência da hereditariedade, maturação do sistema nervoso e do ambiente (família, vizinhança, etnia/raça, condições socioeconômicas e históricas, etc.).  O crescimento do corpo e do cérebro, as capacidades sensori</w:t>
      </w:r>
      <w:r>
        <w:rPr>
          <w:rFonts w:ascii="Open Sans" w:eastAsia="Open Sans" w:hAnsi="Open Sans" w:cs="Open Sans"/>
        </w:rPr>
        <w:t>ais, as habilidades motoras e a saúde fazem parte do desenvolvimento físico. Aprendizagem, atenção, memória, linguagem, pensamento, raciocínio e criatividade compõem o desenvolvimento cognitivo. Emoções, personalidade e relações sociais são aspectos do des</w:t>
      </w:r>
      <w:r>
        <w:rPr>
          <w:rFonts w:ascii="Open Sans" w:eastAsia="Open Sans" w:hAnsi="Open Sans" w:cs="Open Sans"/>
        </w:rPr>
        <w:t>envolvimento psicossocial.</w:t>
      </w:r>
    </w:p>
    <w:p w14:paraId="5538F872" w14:textId="77777777" w:rsidR="00350AA2" w:rsidRDefault="00933DCD" w:rsidP="00485ED8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Chars="0" w:left="0" w:firstLineChars="0" w:firstLine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No início de março de 2024, o PAPU abriu inscrições para cadastro das famílias universitárias e suas crianças. Após uma limpeza e organização no acervo das brinquedotecas iniciaram-se as atividades. Ao receber as crianças, as mon</w:t>
      </w:r>
      <w:r>
        <w:rPr>
          <w:rFonts w:ascii="Open Sans" w:eastAsia="Open Sans" w:hAnsi="Open Sans" w:cs="Open Sans"/>
        </w:rPr>
        <w:t>itoras(es) brincantes conheceram suas necessidades para elaborar atividades adaptadas às múltiplas infâncias.</w:t>
      </w:r>
    </w:p>
    <w:p w14:paraId="05A023BB" w14:textId="77777777" w:rsidR="00350AA2" w:rsidRDefault="00933DCD" w:rsidP="00485ED8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Chars="0" w:left="0" w:firstLineChars="0" w:firstLine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Após esse período de adaptação das crianças, percebeu-se algo incomum com uma das crianças, chamada de Rosa neste estudo. Ela apresentava dificuld</w:t>
      </w:r>
      <w:r>
        <w:rPr>
          <w:rFonts w:ascii="Open Sans" w:eastAsia="Open Sans" w:hAnsi="Open Sans" w:cs="Open Sans"/>
        </w:rPr>
        <w:t>ades em socializar e brincar com outras crianças, não dirigia uma palavra sequer para outras crianças ou para as(os) monitoras(es) na sala. A única forma de comunicação que as(os) monitoras(es) conseguiram estabelecer com ela foi somente o balanço da cabeç</w:t>
      </w:r>
      <w:r>
        <w:rPr>
          <w:rFonts w:ascii="Open Sans" w:eastAsia="Open Sans" w:hAnsi="Open Sans" w:cs="Open Sans"/>
        </w:rPr>
        <w:t xml:space="preserve">a: sim (balanço da cabeça para baixo e para cima) e não (balanço da cabeça para a direita e para </w:t>
      </w:r>
      <w:r>
        <w:rPr>
          <w:rFonts w:ascii="Open Sans" w:eastAsia="Open Sans" w:hAnsi="Open Sans" w:cs="Open Sans"/>
        </w:rPr>
        <w:lastRenderedPageBreak/>
        <w:t xml:space="preserve">a esquerda). Em diálogo com a Mãe, uma estudante do curso de Direito, descobriu-se que Rosa tem </w:t>
      </w:r>
      <w:proofErr w:type="gramStart"/>
      <w:r>
        <w:rPr>
          <w:rFonts w:ascii="Open Sans" w:eastAsia="Open Sans" w:hAnsi="Open Sans" w:cs="Open Sans"/>
        </w:rPr>
        <w:t>quatro(</w:t>
      </w:r>
      <w:proofErr w:type="gramEnd"/>
      <w:r>
        <w:rPr>
          <w:rFonts w:ascii="Open Sans" w:eastAsia="Open Sans" w:hAnsi="Open Sans" w:cs="Open Sans"/>
        </w:rPr>
        <w:t>04) anos, é filha única, não apresenta deficiência ou tr</w:t>
      </w:r>
      <w:r>
        <w:rPr>
          <w:rFonts w:ascii="Open Sans" w:eastAsia="Open Sans" w:hAnsi="Open Sans" w:cs="Open Sans"/>
        </w:rPr>
        <w:t>anstorno do neurodesenvolvimento, frequenta a Creche no período matutino, interage pouco na Creche e conversa bastante em casa, com a mãe e o pai. Durante o acolhimento no PAPU, Rosa prefere brincar sozinha com bonecas ou de casinha.</w:t>
      </w:r>
    </w:p>
    <w:p w14:paraId="6B876924" w14:textId="77777777" w:rsidR="00350AA2" w:rsidRDefault="00933DCD" w:rsidP="00485ED8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Chars="0" w:left="0" w:firstLineChars="0" w:firstLine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As atividades de livre brincar e estruturadas promovidas no acolhimento infantil buscam envolver todas as crianças. Para </w:t>
      </w:r>
      <w:proofErr w:type="spellStart"/>
      <w:r>
        <w:rPr>
          <w:rFonts w:ascii="Open Sans" w:eastAsia="Open Sans" w:hAnsi="Open Sans" w:cs="Open Sans"/>
        </w:rPr>
        <w:t>Wajskop</w:t>
      </w:r>
      <w:proofErr w:type="spellEnd"/>
      <w:r>
        <w:rPr>
          <w:rFonts w:ascii="Open Sans" w:eastAsia="Open Sans" w:hAnsi="Open Sans" w:cs="Open Sans"/>
        </w:rPr>
        <w:t xml:space="preserve"> (2012, p. 34), “a brincadeira é um fato social, espaço privilegiado de interação infantil e de constituição do sujeito-criança </w:t>
      </w:r>
      <w:r>
        <w:rPr>
          <w:rFonts w:ascii="Open Sans" w:eastAsia="Open Sans" w:hAnsi="Open Sans" w:cs="Open Sans"/>
        </w:rPr>
        <w:t>como sujeito humano, produto e produtor de história e cultura”. Inicialmente, Rosa nega a participação nas atividades propostas, mas as monitoras(es) não desistiram, e continuaram estimulando a participação dela nas brincadeiras coletivas.</w:t>
      </w:r>
    </w:p>
    <w:p w14:paraId="44D96A5C" w14:textId="77777777" w:rsidR="00350AA2" w:rsidRDefault="00933DCD" w:rsidP="00485ED8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Chars="0" w:left="0" w:firstLineChars="0" w:firstLine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Após semanas de </w:t>
      </w:r>
      <w:r>
        <w:rPr>
          <w:rFonts w:ascii="Open Sans" w:eastAsia="Open Sans" w:hAnsi="Open Sans" w:cs="Open Sans"/>
        </w:rPr>
        <w:t>acolhimento, Rosa criou o primeiro vínculo de amizade com uma outra menina da sua idade. Durante o livre brincar, enquanto brincavam de casinha, ela riu bem alto dando a entender que estava gostando de brincar com a coleguinha. Porém, ainda não havia manif</w:t>
      </w:r>
      <w:r>
        <w:rPr>
          <w:rFonts w:ascii="Open Sans" w:eastAsia="Open Sans" w:hAnsi="Open Sans" w:cs="Open Sans"/>
        </w:rPr>
        <w:t>estação da fala verbal. Outra mudança foi o engajamento dela na brincadeira corrida das cores</w:t>
      </w:r>
      <w:r>
        <w:rPr>
          <w:rFonts w:ascii="Open Sans" w:eastAsia="Open Sans" w:hAnsi="Open Sans" w:cs="Open Sans"/>
          <w:vertAlign w:val="superscript"/>
        </w:rPr>
        <w:footnoteReference w:id="1"/>
      </w:r>
      <w:r>
        <w:rPr>
          <w:rFonts w:ascii="Open Sans" w:eastAsia="Open Sans" w:hAnsi="Open Sans" w:cs="Open Sans"/>
        </w:rPr>
        <w:t>. Outra grande mudança foi quando Rosa comunicou-se, de forma verbal, às monitoras quando perguntaram para todas as crianças se algumas delas queriam ir ao banhe</w:t>
      </w:r>
      <w:r>
        <w:rPr>
          <w:rFonts w:ascii="Open Sans" w:eastAsia="Open Sans" w:hAnsi="Open Sans" w:cs="Open Sans"/>
        </w:rPr>
        <w:t>iro ou beber água. Rosa respondeu sim para ir ao banheiro e que não queria beber água, causando surpresa às monitoras.</w:t>
      </w:r>
    </w:p>
    <w:p w14:paraId="63D234FE" w14:textId="77777777" w:rsidR="00350AA2" w:rsidRDefault="00933DCD" w:rsidP="00485ED8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Chars="0" w:left="0" w:firstLineChars="0" w:firstLine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Brincar “é a condição da aprendizagem e, desde logo, da aprendizagem da sociabilidade” (SARMENTO, 2004, p. 16). Sob essa ótica, as brinca</w:t>
      </w:r>
      <w:r>
        <w:rPr>
          <w:rFonts w:ascii="Open Sans" w:eastAsia="Open Sans" w:hAnsi="Open Sans" w:cs="Open Sans"/>
        </w:rPr>
        <w:t xml:space="preserve">deiras são fatores importantes para o desenvolvimento das crianças, incluindo a socialização. A interação </w:t>
      </w:r>
      <w:r>
        <w:rPr>
          <w:rFonts w:ascii="Open Sans" w:eastAsia="Open Sans" w:hAnsi="Open Sans" w:cs="Open Sans"/>
        </w:rPr>
        <w:lastRenderedPageBreak/>
        <w:t xml:space="preserve">verbal de Rosa com as monitoras e as crianças ainda é pouco frequente, mas já percebe-se interesse e maior envolvimento dela em atividades coletivas. </w:t>
      </w:r>
    </w:p>
    <w:p w14:paraId="1247F1DB" w14:textId="77777777" w:rsidR="00350AA2" w:rsidRDefault="00933DCD" w:rsidP="00485ED8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Chars="0" w:left="0" w:firstLineChars="0" w:firstLine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Outra mudança observada ocorreu durante a brincadeira do “Cola” (variação do pique pega, se a criança for pega precisa permanecer onde estava até outra criança que está livre descolá-la do lugar), na quadra de esportes, ao ar livre. Ela interagiu bastante</w:t>
      </w:r>
      <w:r>
        <w:rPr>
          <w:rFonts w:ascii="Open Sans" w:eastAsia="Open Sans" w:hAnsi="Open Sans" w:cs="Open Sans"/>
        </w:rPr>
        <w:t xml:space="preserve"> com outros colegas nessa brincadeira, sorriu bastante, mas sem comunicação verbal. Para que as brincadeiras ocorram de forma saudável é necessário respeitar o espaço e limites de exploração de cada criança “enquanto sujeitos históricos, conscientes de sua</w:t>
      </w:r>
      <w:r>
        <w:rPr>
          <w:rFonts w:ascii="Open Sans" w:eastAsia="Open Sans" w:hAnsi="Open Sans" w:cs="Open Sans"/>
        </w:rPr>
        <w:t xml:space="preserve"> condição e situação e que se expressam de múltiplas formas” (OLIVEIRA, 2008, p. 284).</w:t>
      </w:r>
    </w:p>
    <w:p w14:paraId="6D162284" w14:textId="77777777" w:rsidR="00350AA2" w:rsidRDefault="00933DCD" w:rsidP="00485ED8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Chars="0" w:left="0" w:firstLineChars="0" w:firstLine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Observa-se no PAPU que o livre brincar desempenha um papel essencial para o desenvolvimento e aprendizagem das crianças, pois ele ativa a parte lúdica permitindo que ela</w:t>
      </w:r>
      <w:r>
        <w:rPr>
          <w:rFonts w:ascii="Open Sans" w:eastAsia="Open Sans" w:hAnsi="Open Sans" w:cs="Open Sans"/>
        </w:rPr>
        <w:t>s se tornem autônomas ao escolherem que brincadeiras criar ou brincar, potencializando a imaginação, fazendo com que a imersão nas brincadeiras se torne algo prazeroso. Já nas brincadeiras estruturadas pelas(os) monitoras(es) brincantes, observa-se aprendi</w:t>
      </w:r>
      <w:r>
        <w:rPr>
          <w:rFonts w:ascii="Open Sans" w:eastAsia="Open Sans" w:hAnsi="Open Sans" w:cs="Open Sans"/>
        </w:rPr>
        <w:t xml:space="preserve">zagens específicas de acordo com a finalidade das atividades. </w:t>
      </w:r>
    </w:p>
    <w:p w14:paraId="0537187E" w14:textId="77777777" w:rsidR="00350AA2" w:rsidRDefault="00350AA2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</w:rPr>
      </w:pPr>
    </w:p>
    <w:p w14:paraId="2DB35B0A" w14:textId="77777777" w:rsidR="00350AA2" w:rsidRDefault="00933D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Considerações Finais</w:t>
      </w:r>
    </w:p>
    <w:p w14:paraId="54B84A20" w14:textId="06FEAD39" w:rsidR="00350AA2" w:rsidRDefault="00933DCD" w:rsidP="00485ED8">
      <w:pPr>
        <w:spacing w:before="0" w:after="0" w:line="360" w:lineRule="auto"/>
        <w:ind w:leftChars="0" w:left="0" w:firstLineChars="0" w:firstLine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As atividades lúdico-pedagógicas estruturadas pelas(os) monitoras(es) brincantes e o livre brincar entre crianças com as(os) monitoras(es) demonstram ser estimuladores do </w:t>
      </w:r>
      <w:r>
        <w:rPr>
          <w:rFonts w:ascii="Open Sans" w:eastAsia="Open Sans" w:hAnsi="Open Sans" w:cs="Open Sans"/>
        </w:rPr>
        <w:t xml:space="preserve">desenvolvimento integral - físico, cognitivo e psicossocial - das crianças no PAPU. É importante lembrar que o uso de telas (celulares, TV e tablets) é desaconselhado durante o acolhimento das crianças, </w:t>
      </w:r>
      <w:r>
        <w:rPr>
          <w:rFonts w:ascii="Open Sans" w:eastAsia="Open Sans" w:hAnsi="Open Sans" w:cs="Open Sans"/>
        </w:rPr>
        <w:t xml:space="preserve">seja por parte das(os) monitoras(es) quanto </w:t>
      </w:r>
      <w:r>
        <w:rPr>
          <w:rFonts w:ascii="Open Sans" w:eastAsia="Open Sans" w:hAnsi="Open Sans" w:cs="Open Sans"/>
        </w:rPr>
        <w:t xml:space="preserve">das crianças. </w:t>
      </w:r>
    </w:p>
    <w:p w14:paraId="3D009002" w14:textId="7F83B2F0" w:rsidR="00350AA2" w:rsidRDefault="00933DCD">
      <w:pP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ab/>
      </w:r>
      <w:r w:rsidR="00485ED8"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 xml:space="preserve">Os brinquedos e brincadeiras desenvolvidas durantes os acolhimentos contribuíram para que Rosa apresentasse mudanças no seu desenvolvimento, principalmente, psicossocial, pois estabeleceu mais interações com as monitoras e com as </w:t>
      </w:r>
      <w:r>
        <w:rPr>
          <w:rFonts w:ascii="Open Sans" w:eastAsia="Open Sans" w:hAnsi="Open Sans" w:cs="Open Sans"/>
        </w:rPr>
        <w:lastRenderedPageBreak/>
        <w:t>demais c</w:t>
      </w:r>
      <w:r>
        <w:rPr>
          <w:rFonts w:ascii="Open Sans" w:eastAsia="Open Sans" w:hAnsi="Open Sans" w:cs="Open Sans"/>
        </w:rPr>
        <w:t>rianças. Ainda não foi possível estabelecer uma comunicação verbal com ela, de forma contínua, porém acredita-se que a sua continuação no PAPU promoverá novas mudanças. A monitoria brincante desempenha um papel fundamental de mediar e estimular as crianças</w:t>
      </w:r>
      <w:r>
        <w:rPr>
          <w:rFonts w:ascii="Open Sans" w:eastAsia="Open Sans" w:hAnsi="Open Sans" w:cs="Open Sans"/>
        </w:rPr>
        <w:t xml:space="preserve"> a trocarem experiências e novos saberes, o sorriso e a vontade de brincar mais com outras crianças prova que Rosa, bem como outras crianças, estão no caminho certo para o seu desenvolvimento.</w:t>
      </w:r>
    </w:p>
    <w:p w14:paraId="59A16328" w14:textId="77777777" w:rsidR="00350AA2" w:rsidRDefault="00350AA2">
      <w:pPr>
        <w:spacing w:before="0" w:after="0" w:line="240" w:lineRule="auto"/>
        <w:ind w:left="0" w:hanging="2"/>
        <w:rPr>
          <w:rFonts w:ascii="Open Sans" w:eastAsia="Open Sans" w:hAnsi="Open Sans" w:cs="Open Sans"/>
        </w:rPr>
      </w:pPr>
    </w:p>
    <w:p w14:paraId="1F65EBD8" w14:textId="77777777" w:rsidR="00350AA2" w:rsidRDefault="00933D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1" w:hanging="3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Referências </w:t>
      </w:r>
    </w:p>
    <w:p w14:paraId="2415900B" w14:textId="77777777" w:rsidR="00350AA2" w:rsidRDefault="00933DCD">
      <w:pPr>
        <w:spacing w:before="0" w:after="0" w:line="24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SARMENTO, Manuel Jacinto. As culturas da infância nas encruzilhadas da 2ª modernidade. In: SARMENTO, Manuel Jacinto; CERISARA, Ana Beatriz (Coord.). </w:t>
      </w:r>
      <w:r>
        <w:rPr>
          <w:rFonts w:ascii="Open Sans" w:eastAsia="Open Sans" w:hAnsi="Open Sans" w:cs="Open Sans"/>
          <w:b/>
        </w:rPr>
        <w:t>Crianças e miúdos:</w:t>
      </w:r>
      <w:r>
        <w:rPr>
          <w:rFonts w:ascii="Open Sans" w:eastAsia="Open Sans" w:hAnsi="Open Sans" w:cs="Open Sans"/>
        </w:rPr>
        <w:t xml:space="preserve"> perspectivas </w:t>
      </w:r>
      <w:proofErr w:type="spellStart"/>
      <w:r>
        <w:rPr>
          <w:rFonts w:ascii="Open Sans" w:eastAsia="Open Sans" w:hAnsi="Open Sans" w:cs="Open Sans"/>
        </w:rPr>
        <w:t>sociopedagógicas</w:t>
      </w:r>
      <w:proofErr w:type="spellEnd"/>
      <w:r>
        <w:rPr>
          <w:rFonts w:ascii="Open Sans" w:eastAsia="Open Sans" w:hAnsi="Open Sans" w:cs="Open Sans"/>
        </w:rPr>
        <w:t xml:space="preserve"> sobre infância e educação. Porto, PT: Asa, 2004, p. 9-34.</w:t>
      </w:r>
    </w:p>
    <w:p w14:paraId="6A43AFEA" w14:textId="77777777" w:rsidR="00350AA2" w:rsidRDefault="00933DCD">
      <w:pPr>
        <w:spacing w:before="0" w:after="0" w:line="24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OLIVEIRA, Alessandra Mara Rotta de. </w:t>
      </w:r>
      <w:r>
        <w:rPr>
          <w:rFonts w:ascii="Open Sans" w:eastAsia="Open Sans" w:hAnsi="Open Sans" w:cs="Open Sans"/>
          <w:b/>
        </w:rPr>
        <w:t>Do outro lado:</w:t>
      </w:r>
      <w:r>
        <w:rPr>
          <w:rFonts w:ascii="Open Sans" w:eastAsia="Open Sans" w:hAnsi="Open Sans" w:cs="Open Sans"/>
        </w:rPr>
        <w:t xml:space="preserve"> a infância sob o olhar de crianças no interior da creche. In: CRUZ, Silvia Helena Vieira. A criança fala: a escuta de crianças em pesquisa. São Paulo: Cortez, 2008. </w:t>
      </w:r>
    </w:p>
    <w:p w14:paraId="41C08D82" w14:textId="77777777" w:rsidR="00350AA2" w:rsidRDefault="00933DCD">
      <w:pPr>
        <w:spacing w:before="0" w:after="0" w:line="24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PAPALIA, Diane; FELDMAN, Ruth. </w:t>
      </w:r>
      <w:r>
        <w:rPr>
          <w:rFonts w:ascii="Open Sans" w:eastAsia="Open Sans" w:hAnsi="Open Sans" w:cs="Open Sans"/>
          <w:b/>
        </w:rPr>
        <w:t>Desenvol</w:t>
      </w:r>
      <w:r>
        <w:rPr>
          <w:rFonts w:ascii="Open Sans" w:eastAsia="Open Sans" w:hAnsi="Open Sans" w:cs="Open Sans"/>
          <w:b/>
        </w:rPr>
        <w:t>vimento humano.</w:t>
      </w:r>
      <w:r>
        <w:rPr>
          <w:rFonts w:ascii="Open Sans" w:eastAsia="Open Sans" w:hAnsi="Open Sans" w:cs="Open Sans"/>
        </w:rPr>
        <w:t xml:space="preserve"> 12. ed. Porto </w:t>
      </w:r>
      <w:proofErr w:type="gramStart"/>
      <w:r>
        <w:rPr>
          <w:rFonts w:ascii="Open Sans" w:eastAsia="Open Sans" w:hAnsi="Open Sans" w:cs="Open Sans"/>
        </w:rPr>
        <w:t>Alegre :</w:t>
      </w:r>
      <w:proofErr w:type="gramEnd"/>
      <w:r>
        <w:rPr>
          <w:rFonts w:ascii="Open Sans" w:eastAsia="Open Sans" w:hAnsi="Open Sans" w:cs="Open Sans"/>
        </w:rPr>
        <w:t xml:space="preserve"> AMGH, 2013.</w:t>
      </w:r>
    </w:p>
    <w:p w14:paraId="1301847A" w14:textId="77777777" w:rsidR="00350AA2" w:rsidRDefault="00933DCD">
      <w:pPr>
        <w:spacing w:before="0" w:after="0" w:line="24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WAJSKOP, Gisela.</w:t>
      </w:r>
      <w:r>
        <w:rPr>
          <w:rFonts w:ascii="Open Sans" w:eastAsia="Open Sans" w:hAnsi="Open Sans" w:cs="Open Sans"/>
          <w:b/>
        </w:rPr>
        <w:t xml:space="preserve"> Por que se brinca na escola?</w:t>
      </w:r>
      <w:r>
        <w:rPr>
          <w:rFonts w:ascii="Open Sans" w:eastAsia="Open Sans" w:hAnsi="Open Sans" w:cs="Open Sans"/>
        </w:rPr>
        <w:t xml:space="preserve"> In: WAJSKOP, Gisela. Brincar na educação infantil: uma história que se repete. 9. ed. São Paulo: Cortez, 2012. </w:t>
      </w:r>
    </w:p>
    <w:p w14:paraId="3C440467" w14:textId="77777777" w:rsidR="00350AA2" w:rsidRDefault="00350AA2">
      <w:pPr>
        <w:spacing w:before="0" w:after="0" w:line="240" w:lineRule="auto"/>
        <w:ind w:left="0" w:hanging="2"/>
        <w:rPr>
          <w:rFonts w:ascii="Open Sans" w:eastAsia="Open Sans" w:hAnsi="Open Sans" w:cs="Open Sans"/>
        </w:rPr>
      </w:pPr>
    </w:p>
    <w:p w14:paraId="1869B338" w14:textId="77777777" w:rsidR="00350AA2" w:rsidRDefault="00933DCD">
      <w:pPr>
        <w:spacing w:line="276" w:lineRule="auto"/>
        <w:ind w:left="1" w:hanging="3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VII. Agradecimentos</w:t>
      </w:r>
    </w:p>
    <w:p w14:paraId="2A0D2FFB" w14:textId="77777777" w:rsidR="00350AA2" w:rsidRDefault="00933DCD">
      <w:pPr>
        <w:spacing w:line="276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Ao Diretor do CEHS, prof. Dr. Marco Aurélio pelo apoio na implementação do PAPU; à coordenadora geral do PAPU, Ma. Ana Ros</w:t>
      </w:r>
      <w:r>
        <w:rPr>
          <w:rFonts w:ascii="Open Sans" w:eastAsia="Open Sans" w:hAnsi="Open Sans" w:cs="Open Sans"/>
        </w:rPr>
        <w:t>a, coordenadora de Gênero e Diversidade/DAEP/UFNT; ao curso de Educação do Campo pelo apoio financeiro com bolsas para os(as) monitores(as) brincantes no ano de 2022/2023; aos/às monitores (as) brincantes que estão conosco desde 2022; às professoras Dra. J</w:t>
      </w:r>
      <w:r>
        <w:rPr>
          <w:rFonts w:ascii="Open Sans" w:eastAsia="Open Sans" w:hAnsi="Open Sans" w:cs="Open Sans"/>
        </w:rPr>
        <w:t xml:space="preserve">ane </w:t>
      </w:r>
      <w:proofErr w:type="spellStart"/>
      <w:r>
        <w:rPr>
          <w:rFonts w:ascii="Open Sans" w:eastAsia="Open Sans" w:hAnsi="Open Sans" w:cs="Open Sans"/>
        </w:rPr>
        <w:t>Darley</w:t>
      </w:r>
      <w:proofErr w:type="spellEnd"/>
      <w:r>
        <w:rPr>
          <w:rFonts w:ascii="Open Sans" w:eastAsia="Open Sans" w:hAnsi="Open Sans" w:cs="Open Sans"/>
        </w:rPr>
        <w:t xml:space="preserve"> e Dra. Fabiana Rosa, supervisoras do PAPU em Araguaína; às famílias universitárias pela construção da rede de apoio.</w:t>
      </w:r>
    </w:p>
    <w:p w14:paraId="56F67258" w14:textId="77777777" w:rsidR="00350AA2" w:rsidRPr="00485ED8" w:rsidRDefault="00350AA2">
      <w:pPr>
        <w:spacing w:line="276" w:lineRule="auto"/>
        <w:rPr>
          <w:rFonts w:ascii="Open Sans" w:eastAsia="Open Sans" w:hAnsi="Open Sans" w:cs="Open Sans"/>
          <w:sz w:val="10"/>
          <w:szCs w:val="10"/>
        </w:rPr>
      </w:pPr>
    </w:p>
    <w:p w14:paraId="478D82B8" w14:textId="77777777" w:rsidR="00350AA2" w:rsidRDefault="00933DCD">
      <w:pPr>
        <w:spacing w:line="276" w:lineRule="auto"/>
        <w:ind w:left="1" w:hanging="3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IX. Financiamentos</w:t>
      </w:r>
    </w:p>
    <w:p w14:paraId="1D919DA5" w14:textId="734818FA" w:rsidR="00350AA2" w:rsidRPr="00485ED8" w:rsidRDefault="00933DCD" w:rsidP="00485ED8">
      <w:pPr>
        <w:spacing w:line="276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Edital Cuidar PROEX/UFNT nº 024/2023 e Edital Floresça PROEX/UFNT nº 013/2023.</w:t>
      </w:r>
    </w:p>
    <w:sectPr w:rsidR="00350AA2" w:rsidRPr="00485E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F2DA5" w14:textId="77777777" w:rsidR="00933DCD" w:rsidRDefault="00933DCD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02D88240" w14:textId="77777777" w:rsidR="00933DCD" w:rsidRDefault="00933DCD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CF3FC" w14:textId="77777777" w:rsidR="00350AA2" w:rsidRDefault="00350AA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BB093" w14:textId="77777777" w:rsidR="00350AA2" w:rsidRDefault="00933D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85ED8">
      <w:rPr>
        <w:color w:val="000000"/>
      </w:rPr>
      <w:fldChar w:fldCharType="separate"/>
    </w:r>
    <w:r w:rsidR="00485ED8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F2081" w14:textId="77777777" w:rsidR="00350AA2" w:rsidRDefault="00350AA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03FE7" w14:textId="77777777" w:rsidR="00933DCD" w:rsidRDefault="00933DCD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0FA36B90" w14:textId="77777777" w:rsidR="00933DCD" w:rsidRDefault="00933DCD">
      <w:pPr>
        <w:spacing w:before="0" w:after="0" w:line="240" w:lineRule="auto"/>
        <w:ind w:left="0" w:hanging="2"/>
      </w:pPr>
      <w:r>
        <w:continuationSeparator/>
      </w:r>
    </w:p>
  </w:footnote>
  <w:footnote w:id="1">
    <w:p w14:paraId="7C5362A2" w14:textId="77777777" w:rsidR="00350AA2" w:rsidRDefault="00933DCD">
      <w:pPr>
        <w:spacing w:before="0" w:after="0"/>
        <w:ind w:left="0" w:hanging="2"/>
        <w:rPr>
          <w:rFonts w:ascii="Open Sans" w:eastAsia="Open Sans" w:hAnsi="Open Sans" w:cs="Open Sans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Open Sans" w:eastAsia="Open Sans" w:hAnsi="Open Sans" w:cs="Open Sans"/>
          <w:sz w:val="18"/>
          <w:szCs w:val="18"/>
        </w:rPr>
        <w:t xml:space="preserve"> Cada criança recebe uma cor dentre quatro (azul, verde, amarelo e vermelho) e vão dando um passo por vez na caminhada, conforme a roleta para em uma cor. A criança que concluir primeiro a caminhada será o próximo a girar a roleta das cores.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B73DE" w14:textId="77777777" w:rsidR="00350AA2" w:rsidRDefault="00350AA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5171D" w14:textId="77777777" w:rsidR="00350AA2" w:rsidRDefault="00933D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D5E4367" wp14:editId="344CAB46">
          <wp:extent cx="5274945" cy="1758315"/>
          <wp:effectExtent l="0" t="0" r="0" b="0"/>
          <wp:docPr id="1158862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945" cy="175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649B3C" w14:textId="77777777" w:rsidR="00350AA2" w:rsidRDefault="00933DCD">
    <w:pPr>
      <w:pBdr>
        <w:top w:val="nil"/>
        <w:left w:val="nil"/>
        <w:bottom w:val="nil"/>
        <w:right w:val="nil"/>
        <w:between w:val="nil"/>
      </w:pBdr>
      <w:spacing w:line="240" w:lineRule="auto"/>
      <w:ind w:left="5" w:hanging="7"/>
      <w:jc w:val="center"/>
      <w:rPr>
        <w:rFonts w:ascii="Open Sans" w:eastAsia="Open Sans" w:hAnsi="Open Sans" w:cs="Open Sans"/>
        <w:color w:val="BFBFBF"/>
        <w:sz w:val="72"/>
        <w:szCs w:val="72"/>
      </w:rPr>
    </w:pPr>
    <w:r>
      <w:rPr>
        <w:rFonts w:ascii="Open Sans" w:eastAsia="Open Sans" w:hAnsi="Open Sans" w:cs="Open Sans"/>
        <w:color w:val="BFBFBF"/>
        <w:sz w:val="72"/>
        <w:szCs w:val="72"/>
      </w:rPr>
      <w:t>Relato de Experiência</w:t>
    </w:r>
  </w:p>
  <w:p w14:paraId="53A4359F" w14:textId="77777777" w:rsidR="00350AA2" w:rsidRDefault="00350AA2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45D0E" w14:textId="77777777" w:rsidR="00350AA2" w:rsidRDefault="00350AA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C5DB9"/>
    <w:multiLevelType w:val="multilevel"/>
    <w:tmpl w:val="7E945508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C272653"/>
    <w:multiLevelType w:val="multilevel"/>
    <w:tmpl w:val="E4206430"/>
    <w:lvl w:ilvl="0">
      <w:start w:val="1"/>
      <w:numFmt w:val="decimal"/>
      <w:pStyle w:val="Commarcadore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A2"/>
    <w:rsid w:val="00350AA2"/>
    <w:rsid w:val="00485ED8"/>
    <w:rsid w:val="00933DCD"/>
    <w:rsid w:val="00981266"/>
    <w:rsid w:val="00E9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5DD3"/>
  <w15:docId w15:val="{20CD4779-9B07-49F7-927F-9232A5A8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Century Gothic"/>
        <w:lang w:val="pt-BR" w:eastAsia="pt-BR" w:bidi="ar-SA"/>
      </w:rPr>
    </w:rPrDefault>
    <w:pPrDefault>
      <w:pPr>
        <w:spacing w:before="60" w:after="6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next w:val="Normal"/>
    <w:uiPriority w:val="9"/>
    <w:qFormat/>
    <w:pPr>
      <w:numPr>
        <w:numId w:val="1"/>
      </w:numPr>
      <w:autoSpaceDE w:val="0"/>
      <w:spacing w:after="8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44"/>
      <w:szCs w:val="44"/>
      <w:lang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autoSpaceDE w:val="0"/>
      <w:spacing w:before="240" w:after="120"/>
      <w:ind w:left="274" w:hanging="274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120" w:after="0"/>
      <w:ind w:left="720" w:firstLine="0"/>
      <w:outlineLvl w:val="3"/>
    </w:pPr>
    <w:rPr>
      <w:rFonts w:ascii="Arial" w:hAnsi="Arial"/>
      <w:b/>
      <w:bCs/>
      <w:sz w:val="24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/>
      <w:jc w:val="center"/>
    </w:pPr>
    <w:rPr>
      <w:rFonts w:ascii="Cambria" w:hAnsi="Cambria"/>
      <w:b/>
      <w:bCs/>
      <w:kern w:val="1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entury Gothic" w:hAnsi="Century Gothic" w:cs="Arial"/>
      <w:w w:val="100"/>
      <w:position w:val="-1"/>
      <w:sz w:val="44"/>
      <w:szCs w:val="44"/>
      <w:effect w:val="none"/>
      <w:vertAlign w:val="baseline"/>
      <w:cs w:val="0"/>
      <w:em w:val="none"/>
      <w:lang w:val="en-US" w:eastAsia="ar-SA" w:bidi="ar-SA"/>
    </w:rPr>
  </w:style>
  <w:style w:type="character" w:customStyle="1" w:styleId="ProposalChar">
    <w:name w:val="Proposal Char"/>
    <w:rPr>
      <w:rFonts w:ascii="Century Gothic" w:hAnsi="Century Gothic" w:cs="Arial"/>
      <w:color w:val="C0C0C0"/>
      <w:w w:val="100"/>
      <w:position w:val="-1"/>
      <w:sz w:val="88"/>
      <w:szCs w:val="44"/>
      <w:effect w:val="none"/>
      <w:vertAlign w:val="baseline"/>
      <w:cs w:val="0"/>
      <w:em w:val="none"/>
      <w:lang w:val="en-US" w:eastAsia="ar-SA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rPr>
      <w:rFonts w:ascii="Century Gothic" w:hAnsi="Century Gothic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pt-BR" w:eastAsia="ar-SA" w:bidi="ar-SA"/>
    </w:rPr>
  </w:style>
  <w:style w:type="character" w:customStyle="1" w:styleId="RodapChar">
    <w:name w:val="Rodapé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 w:bidi="ar-SA"/>
    </w:rPr>
  </w:style>
  <w:style w:type="character" w:customStyle="1" w:styleId="Ttulo2Char">
    <w:name w:val="Título 2 Char"/>
    <w:rPr>
      <w:rFonts w:ascii="Century Gothic" w:hAnsi="Century Gothic" w:cs="Arial"/>
      <w:w w:val="100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Pr-formataoHTMLChar1">
    <w:name w:val="Pré-formatação HTML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entury Gothic" w:hAnsi="Century Gothic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-FootnoteCharacters">
    <w:name w:val="WW-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TDisplayEquationChar">
    <w:name w:val="MTDisplayEquation Char"/>
    <w:rPr>
      <w:rFonts w:ascii="Century Gothic" w:hAnsi="Century Gothic"/>
      <w:w w:val="100"/>
      <w:position w:val="-1"/>
      <w:effect w:val="none"/>
      <w:vertAlign w:val="baseline"/>
      <w:cs w:val="0"/>
      <w:em w:val="none"/>
    </w:rPr>
  </w:style>
  <w:style w:type="character" w:customStyle="1" w:styleId="nfakpe">
    <w:name w:val="nfakp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nfase">
    <w:name w:val="Emphasis"/>
    <w:rPr>
      <w:i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noteChar">
    <w:name w:val="Footnote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  <w:lang w:val="en-US"/>
    </w:rPr>
  </w:style>
  <w:style w:type="character" w:customStyle="1" w:styleId="texto">
    <w:name w:val="text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1">
    <w:name w:val="text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41">
    <w:name w:val="style4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abeladeGrade1Clara1">
    <w:name w:val="Tabela de Grade 1 Clara1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longtext">
    <w:name w:val="long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mediumtext">
    <w:name w:val="medium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200" w:line="260" w:lineRule="atLeast"/>
      <w:ind w:left="864"/>
    </w:pPr>
    <w:rPr>
      <w:sz w:val="18"/>
    </w:rPr>
  </w:style>
  <w:style w:type="paragraph" w:styleId="Lista">
    <w:name w:val="List"/>
    <w:basedOn w:val="Corpodetexto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spacing w:before="120" w:after="0" w:line="360" w:lineRule="auto"/>
      <w:ind w:firstLine="709"/>
    </w:pPr>
    <w:rPr>
      <w:rFonts w:ascii="Arial" w:hAnsi="Arial" w:cs="Tahoma"/>
      <w:sz w:val="24"/>
      <w:szCs w:val="24"/>
    </w:rPr>
  </w:style>
  <w:style w:type="paragraph" w:customStyle="1" w:styleId="Proposal">
    <w:name w:val="Proposal"/>
    <w:pPr>
      <w:pBdr>
        <w:top w:val="single" w:sz="8" w:space="0" w:color="C0C0C0"/>
      </w:pBdr>
      <w:spacing w:before="1100" w:line="1" w:lineRule="atLeast"/>
      <w:ind w:leftChars="-1" w:left="-1" w:hangingChars="1"/>
      <w:textDirection w:val="btLr"/>
      <w:textAlignment w:val="top"/>
      <w:outlineLvl w:val="0"/>
    </w:pPr>
    <w:rPr>
      <w:rFonts w:eastAsia="Arial" w:cs="Arial"/>
      <w:color w:val="C0C0C0"/>
      <w:position w:val="-1"/>
      <w:sz w:val="88"/>
      <w:szCs w:val="44"/>
      <w:lang w:eastAsia="ar-SA"/>
    </w:rPr>
  </w:style>
  <w:style w:type="paragraph" w:customStyle="1" w:styleId="OrgNameandDate">
    <w:name w:val="Org Name and Date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Arial"/>
      <w:position w:val="-1"/>
      <w:sz w:val="28"/>
      <w:szCs w:val="28"/>
      <w:lang w:eastAsia="ar-SA"/>
    </w:rPr>
  </w:style>
  <w:style w:type="paragraph" w:customStyle="1" w:styleId="ProjectName">
    <w:name w:val="Project Name"/>
    <w:pPr>
      <w:spacing w:before="100" w:line="1" w:lineRule="atLeast"/>
      <w:ind w:leftChars="-1" w:left="-1" w:hangingChars="1"/>
      <w:textDirection w:val="btLr"/>
      <w:textAlignment w:val="top"/>
      <w:outlineLvl w:val="0"/>
    </w:pPr>
    <w:rPr>
      <w:rFonts w:eastAsia="Arial"/>
      <w:position w:val="-1"/>
      <w:sz w:val="44"/>
      <w:lang w:eastAsia="ar-SA"/>
    </w:rPr>
  </w:style>
  <w:style w:type="paragraph" w:styleId="Cabealho">
    <w:name w:val="header"/>
    <w:basedOn w:val="Normal"/>
  </w:style>
  <w:style w:type="paragraph" w:styleId="Sumrio1">
    <w:name w:val="toc 1"/>
    <w:next w:val="Normal"/>
    <w:pPr>
      <w:tabs>
        <w:tab w:val="left" w:pos="720"/>
        <w:tab w:val="right" w:leader="dot" w:pos="8630"/>
      </w:tabs>
      <w:spacing w:before="360" w:line="1" w:lineRule="atLeast"/>
      <w:ind w:leftChars="-1" w:left="-1" w:hangingChars="1"/>
      <w:textDirection w:val="btLr"/>
      <w:textAlignment w:val="top"/>
      <w:outlineLvl w:val="0"/>
    </w:pPr>
    <w:rPr>
      <w:rFonts w:eastAsia="Arial" w:cs="Arial"/>
      <w:bCs/>
      <w:caps/>
      <w:position w:val="-1"/>
      <w:lang w:eastAsia="ar-SA"/>
    </w:rPr>
  </w:style>
  <w:style w:type="paragraph" w:customStyle="1" w:styleId="TableText">
    <w:name w:val="Table Text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Arial"/>
      <w:position w:val="-1"/>
      <w:sz w:val="16"/>
      <w:lang w:eastAsia="ar-SA"/>
    </w:rPr>
  </w:style>
  <w:style w:type="paragraph" w:customStyle="1" w:styleId="Total">
    <w:name w:val="Total"/>
    <w:basedOn w:val="TableText"/>
    <w:pPr>
      <w:jc w:val="right"/>
    </w:pPr>
    <w:rPr>
      <w:b/>
      <w:bCs/>
    </w:rPr>
  </w:style>
  <w:style w:type="paragraph" w:styleId="Sumrio2">
    <w:name w:val="toc 2"/>
    <w:basedOn w:val="Normal"/>
    <w:next w:val="Normal"/>
    <w:pPr>
      <w:spacing w:before="240"/>
    </w:pPr>
    <w:rPr>
      <w:b/>
      <w:bCs/>
    </w:rPr>
  </w:style>
  <w:style w:type="paragraph" w:styleId="Sumrio3">
    <w:name w:val="toc 3"/>
    <w:basedOn w:val="Normal"/>
    <w:next w:val="Normal"/>
    <w:pPr>
      <w:ind w:left="240"/>
    </w:pPr>
  </w:style>
  <w:style w:type="paragraph" w:styleId="Sumrio4">
    <w:name w:val="toc 4"/>
    <w:basedOn w:val="Normal"/>
    <w:next w:val="Normal"/>
    <w:pPr>
      <w:ind w:left="480"/>
    </w:pPr>
  </w:style>
  <w:style w:type="paragraph" w:styleId="Sumrio5">
    <w:name w:val="toc 5"/>
    <w:basedOn w:val="Normal"/>
    <w:next w:val="Normal"/>
    <w:pPr>
      <w:ind w:left="720"/>
    </w:pPr>
  </w:style>
  <w:style w:type="paragraph" w:styleId="Sumrio6">
    <w:name w:val="toc 6"/>
    <w:basedOn w:val="Normal"/>
    <w:next w:val="Normal"/>
    <w:pPr>
      <w:ind w:left="960"/>
    </w:pPr>
  </w:style>
  <w:style w:type="paragraph" w:styleId="Sumrio7">
    <w:name w:val="toc 7"/>
    <w:basedOn w:val="Normal"/>
    <w:next w:val="Normal"/>
    <w:pPr>
      <w:ind w:left="1200"/>
    </w:pPr>
  </w:style>
  <w:style w:type="paragraph" w:styleId="Sumrio8">
    <w:name w:val="toc 8"/>
    <w:basedOn w:val="Normal"/>
    <w:next w:val="Normal"/>
    <w:pPr>
      <w:ind w:left="1440"/>
    </w:pPr>
  </w:style>
  <w:style w:type="paragraph" w:styleId="Sumrio9">
    <w:name w:val="toc 9"/>
    <w:basedOn w:val="Normal"/>
    <w:next w:val="Normal"/>
    <w:pPr>
      <w:ind w:left="168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pPr>
      <w:numPr>
        <w:numId w:val="2"/>
      </w:numPr>
      <w:ind w:left="1152" w:firstLine="720"/>
    </w:pPr>
  </w:style>
  <w:style w:type="paragraph" w:customStyle="1" w:styleId="TableTextBold">
    <w:name w:val="Table Text Bold"/>
    <w:basedOn w:val="TableText"/>
    <w:rPr>
      <w:b/>
      <w:color w:val="000000"/>
      <w:szCs w:val="16"/>
    </w:rPr>
  </w:style>
  <w:style w:type="paragraph" w:styleId="Textodenotaderodap">
    <w:name w:val="footnote text"/>
    <w:basedOn w:val="Normal"/>
    <w:pPr>
      <w:spacing w:before="120" w:after="0"/>
    </w:pPr>
    <w:rPr>
      <w:rFonts w:ascii="Arial" w:hAnsi="Arial"/>
      <w:color w:val="000000"/>
      <w:sz w:val="18"/>
    </w:rPr>
  </w:style>
  <w:style w:type="paragraph" w:customStyle="1" w:styleId="Legenda1">
    <w:name w:val="Legenda1"/>
    <w:basedOn w:val="Normal"/>
    <w:next w:val="Normal"/>
    <w:pPr>
      <w:ind w:firstLine="0"/>
      <w:jc w:val="center"/>
    </w:pPr>
    <w:rPr>
      <w:b/>
      <w:bCs/>
    </w:rPr>
  </w:style>
  <w:style w:type="paragraph" w:customStyle="1" w:styleId="StyleCaptionCentered">
    <w:name w:val="Style Caption + Centered"/>
    <w:basedOn w:val="Legenda1"/>
  </w:style>
  <w:style w:type="paragraph" w:styleId="Pr-formataoHTML">
    <w:name w:val="HTML Preformatted"/>
    <w:basedOn w:val="Normal"/>
    <w:pPr>
      <w:spacing w:before="0" w:after="0"/>
      <w:ind w:firstLine="0"/>
      <w:jc w:val="left"/>
    </w:pPr>
    <w:rPr>
      <w:rFonts w:ascii="Courier New" w:hAnsi="Courier New" w:cs="Courier New"/>
    </w:rPr>
  </w:style>
  <w:style w:type="paragraph" w:styleId="Rodap">
    <w:name w:val="footer"/>
    <w:basedOn w:val="Normal"/>
  </w:style>
  <w:style w:type="paragraph" w:customStyle="1" w:styleId="WW-Default">
    <w:name w:val="WW-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spacing w:before="0" w:after="0"/>
      <w:ind w:left="72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Footnote">
    <w:name w:val="WW-Footnote"/>
    <w:basedOn w:val="Textodenotaderodap"/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customStyle="1" w:styleId="StyleNormalWebArialNotBold">
    <w:name w:val="Style Normal (Web) + Arial Not Bold"/>
    <w:basedOn w:val="NormalWeb"/>
    <w:pPr>
      <w:spacing w:before="280" w:after="120" w:line="360" w:lineRule="auto"/>
      <w:ind w:firstLine="706"/>
    </w:pPr>
    <w:rPr>
      <w:rFonts w:ascii="Arial" w:hAnsi="Arial" w:cs="Arial"/>
      <w:color w:val="000000"/>
    </w:rPr>
  </w:style>
  <w:style w:type="paragraph" w:customStyle="1" w:styleId="StyletituloArial14pt">
    <w:name w:val="Style titulo + Arial 14 pt"/>
    <w:basedOn w:val="Normal"/>
    <w:pPr>
      <w:spacing w:before="240" w:after="120" w:line="336" w:lineRule="atLeast"/>
      <w:ind w:firstLine="0"/>
    </w:pPr>
    <w:rPr>
      <w:rFonts w:ascii="Arial" w:hAnsi="Arial" w:cs="Arial"/>
      <w:b/>
      <w:bCs/>
      <w:color w:val="000000"/>
      <w:sz w:val="28"/>
      <w:szCs w:val="24"/>
    </w:rPr>
  </w:style>
  <w:style w:type="paragraph" w:customStyle="1" w:styleId="StyleStyleNormalWebArialNotBoldLinespacingsingle">
    <w:name w:val="Style Style Normal (Web) + Arial Not Bold + Line spacing:  single"/>
    <w:basedOn w:val="StyleNormalWebArialNotBold"/>
    <w:pPr>
      <w:tabs>
        <w:tab w:val="num" w:pos="720"/>
      </w:tabs>
      <w:spacing w:after="60" w:line="240" w:lineRule="auto"/>
      <w:ind w:left="1080" w:hanging="432"/>
      <w:jc w:val="left"/>
    </w:pPr>
    <w:rPr>
      <w:rFonts w:cs="Times New Roman"/>
      <w:szCs w:val="20"/>
    </w:rPr>
  </w:style>
  <w:style w:type="paragraph" w:customStyle="1" w:styleId="ListaColorida-nfase11">
    <w:name w:val="Lista Colorida - Ênfase 11"/>
    <w:basedOn w:val="Normal"/>
    <w:pPr>
      <w:spacing w:before="0"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Contents10">
    <w:name w:val="Contents 10"/>
    <w:basedOn w:val="Index"/>
    <w:pPr>
      <w:ind w:left="2547" w:firstLine="0"/>
    </w:pPr>
  </w:style>
  <w:style w:type="paragraph" w:customStyle="1" w:styleId="Framecontents">
    <w:name w:val="Frame contents"/>
    <w:basedOn w:val="Corpodetexto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Caption1"/>
  </w:style>
  <w:style w:type="paragraph" w:customStyle="1" w:styleId="Illustration">
    <w:name w:val="Illustration"/>
    <w:basedOn w:val="Caption1"/>
  </w:style>
  <w:style w:type="paragraph" w:customStyle="1" w:styleId="Figure">
    <w:name w:val="Figure"/>
    <w:basedOn w:val="Caption1"/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qFormat/>
  </w:style>
  <w:style w:type="character" w:customStyle="1" w:styleId="TextodenotadefimChar">
    <w:name w:val="Texto de nota de fim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entury Gothic" w:hAnsi="Century Gothic"/>
      <w:b/>
      <w:bCs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customStyle="1" w:styleId="CabealhoChar">
    <w:name w:val="Cabeçalh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ra.dias@ufnt.edu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arliene.freitas@ufnt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.brito@ufnt.edu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sH2IykRj6Fj0cqGNT2MNr9fWUw==">CgMxLjAyCWguM3pueXNoNzIKaWQuMmV0OTJwMDgAciExZ0FjU0hHRXh5QUhSbm05SzVZbjdtUnZJQTRJTDZSM0k=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1993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F. Novaes</dc:creator>
  <cp:lastModifiedBy>Carliene</cp:lastModifiedBy>
  <cp:revision>2</cp:revision>
  <dcterms:created xsi:type="dcterms:W3CDTF">2024-10-18T19:27:00Z</dcterms:created>
  <dcterms:modified xsi:type="dcterms:W3CDTF">2024-10-18T19:27:00Z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lpwstr>true</vt:lpwstr>
  </property>
  <property fmtid="{D5CDD505-2E9C-101B-9397-08002B2CF9AE}" pid="3" name="_TemplateID">
    <vt:lpwstr>TC060891651033</vt:lpwstr>
  </property>
</Properties>
</file>