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67A" w:rsidRDefault="0077067A" w:rsidP="00A40EDA">
      <w:pPr>
        <w:jc w:val="center"/>
        <w:rPr>
          <w:rFonts w:ascii="Arial" w:eastAsia="Times New Roman" w:hAnsi="Arial" w:cs="Arial"/>
          <w:b/>
          <w:color w:val="222222"/>
          <w:lang w:val="pt-PT" w:eastAsia="pt-BR"/>
        </w:rPr>
      </w:pPr>
      <w:r w:rsidRPr="0096261F">
        <w:rPr>
          <w:rFonts w:ascii="Arial" w:eastAsia="Times New Roman" w:hAnsi="Arial" w:cs="Arial"/>
          <w:b/>
          <w:color w:val="222222"/>
          <w:lang w:val="pt-PT" w:eastAsia="pt-BR"/>
        </w:rPr>
        <w:t xml:space="preserve">INSUFICIÊNCIA RENAL AGUDA INDUZIDA POR DROGAS EM PACIENTE </w:t>
      </w:r>
    </w:p>
    <w:p w:rsidR="008151B2" w:rsidRPr="0096261F" w:rsidRDefault="0077067A" w:rsidP="00A40EDA">
      <w:pPr>
        <w:jc w:val="center"/>
        <w:rPr>
          <w:rFonts w:ascii="Arial" w:eastAsia="Times New Roman" w:hAnsi="Arial" w:cs="Arial"/>
          <w:b/>
          <w:color w:val="222222"/>
          <w:lang w:val="pt-PT" w:eastAsia="pt-BR"/>
        </w:rPr>
      </w:pPr>
      <w:r w:rsidRPr="0096261F">
        <w:rPr>
          <w:rFonts w:ascii="Arial" w:eastAsia="Times New Roman" w:hAnsi="Arial" w:cs="Arial"/>
          <w:b/>
          <w:color w:val="222222"/>
          <w:lang w:val="pt-PT" w:eastAsia="pt-BR"/>
        </w:rPr>
        <w:t>GERIÁTRICO: RELATO DE CASO</w:t>
      </w:r>
    </w:p>
    <w:p w:rsidR="00A40EDA" w:rsidRPr="0096261F" w:rsidRDefault="00A40EDA" w:rsidP="00A40EDA">
      <w:pPr>
        <w:jc w:val="center"/>
        <w:rPr>
          <w:rFonts w:ascii="Arial" w:eastAsia="Times New Roman" w:hAnsi="Arial" w:cs="Arial"/>
          <w:b/>
          <w:color w:val="222222"/>
          <w:lang w:val="pt-PT" w:eastAsia="pt-BR"/>
        </w:rPr>
      </w:pPr>
    </w:p>
    <w:p w:rsidR="00187F20" w:rsidRDefault="00187F20" w:rsidP="00187F20">
      <w:pPr>
        <w:jc w:val="right"/>
        <w:rPr>
          <w:rFonts w:ascii="Arial" w:eastAsia="Times New Roman" w:hAnsi="Arial" w:cs="Arial"/>
          <w:b/>
          <w:color w:val="222222"/>
          <w:lang w:val="pt-PT" w:eastAsia="pt-BR"/>
        </w:rPr>
      </w:pPr>
      <w:bookmarkStart w:id="0" w:name="_GoBack"/>
      <w:bookmarkEnd w:id="0"/>
      <w:r w:rsidRPr="0096261F">
        <w:rPr>
          <w:rFonts w:ascii="Arial" w:eastAsia="Times New Roman" w:hAnsi="Arial" w:cs="Arial"/>
          <w:b/>
          <w:color w:val="222222"/>
          <w:lang w:val="pt-PT" w:eastAsia="pt-BR"/>
        </w:rPr>
        <w:t>Lucas Zloccowick de Melo Christofoletti¹;</w:t>
      </w:r>
    </w:p>
    <w:p w:rsidR="00A40EDA" w:rsidRPr="0096261F" w:rsidRDefault="00A40EDA" w:rsidP="00A40EDA">
      <w:pPr>
        <w:jc w:val="right"/>
        <w:rPr>
          <w:rFonts w:ascii="Arial" w:eastAsia="Times New Roman" w:hAnsi="Arial" w:cs="Arial"/>
          <w:b/>
          <w:color w:val="222222"/>
          <w:lang w:val="pt-PT" w:eastAsia="pt-BR"/>
        </w:rPr>
      </w:pPr>
      <w:r w:rsidRPr="0096261F">
        <w:rPr>
          <w:rFonts w:ascii="Arial" w:eastAsia="Times New Roman" w:hAnsi="Arial" w:cs="Arial"/>
          <w:b/>
          <w:color w:val="222222"/>
          <w:lang w:val="pt-PT" w:eastAsia="pt-BR"/>
        </w:rPr>
        <w:t>Guilherme Henrique Santana de Mendonça¹;</w:t>
      </w:r>
    </w:p>
    <w:p w:rsidR="00A40EDA" w:rsidRPr="0096261F" w:rsidRDefault="00A40EDA" w:rsidP="00A40EDA">
      <w:pPr>
        <w:jc w:val="right"/>
        <w:rPr>
          <w:rFonts w:ascii="Arial" w:eastAsia="Times New Roman" w:hAnsi="Arial" w:cs="Arial"/>
          <w:b/>
          <w:color w:val="222222"/>
          <w:lang w:val="pt-PT" w:eastAsia="pt-BR"/>
        </w:rPr>
      </w:pPr>
      <w:r w:rsidRPr="0096261F">
        <w:rPr>
          <w:rFonts w:ascii="Arial" w:eastAsia="Times New Roman" w:hAnsi="Arial" w:cs="Arial"/>
          <w:b/>
          <w:color w:val="222222"/>
          <w:lang w:val="pt-PT" w:eastAsia="pt-BR"/>
        </w:rPr>
        <w:t>Igor Lima Buarque¹;</w:t>
      </w:r>
    </w:p>
    <w:p w:rsidR="00A40EDA" w:rsidRDefault="00187F20" w:rsidP="00A40EDA">
      <w:pPr>
        <w:jc w:val="right"/>
        <w:rPr>
          <w:rFonts w:ascii="Arial" w:eastAsia="Times New Roman" w:hAnsi="Arial" w:cs="Arial"/>
          <w:b/>
          <w:color w:val="222222"/>
          <w:lang w:val="pt-PT" w:eastAsia="pt-BR"/>
        </w:rPr>
      </w:pPr>
      <w:r>
        <w:rPr>
          <w:rFonts w:ascii="Arial" w:eastAsia="Times New Roman" w:hAnsi="Arial" w:cs="Arial"/>
          <w:b/>
          <w:color w:val="222222"/>
          <w:lang w:val="pt-PT" w:eastAsia="pt-BR"/>
        </w:rPr>
        <w:t>Renan de Andrade Amaral</w:t>
      </w:r>
      <w:r w:rsidR="00A40EDA" w:rsidRPr="0096261F">
        <w:rPr>
          <w:rFonts w:ascii="Arial" w:eastAsia="Times New Roman" w:hAnsi="Arial" w:cs="Arial"/>
          <w:b/>
          <w:color w:val="222222"/>
          <w:lang w:val="pt-PT" w:eastAsia="pt-BR"/>
        </w:rPr>
        <w:t>¹;</w:t>
      </w:r>
    </w:p>
    <w:p w:rsidR="002103E8" w:rsidRPr="0096261F" w:rsidRDefault="00716643" w:rsidP="00A40EDA">
      <w:pPr>
        <w:jc w:val="right"/>
        <w:rPr>
          <w:rFonts w:ascii="Arial" w:eastAsia="Times New Roman" w:hAnsi="Arial" w:cs="Arial"/>
          <w:b/>
          <w:color w:val="222222"/>
          <w:lang w:val="pt-PT" w:eastAsia="pt-BR"/>
        </w:rPr>
      </w:pPr>
      <w:r>
        <w:rPr>
          <w:rFonts w:ascii="Arial" w:eastAsia="Times New Roman" w:hAnsi="Arial" w:cs="Arial"/>
          <w:b/>
          <w:color w:val="222222"/>
          <w:lang w:val="pt-PT" w:eastAsia="pt-BR"/>
        </w:rPr>
        <w:t>Sérgio Mendonça de Albuquerque²</w:t>
      </w:r>
      <w:r w:rsidR="00124EE3">
        <w:rPr>
          <w:rFonts w:ascii="Arial" w:eastAsia="Times New Roman" w:hAnsi="Arial" w:cs="Arial"/>
          <w:b/>
          <w:color w:val="222222"/>
          <w:lang w:val="pt-PT" w:eastAsia="pt-BR"/>
        </w:rPr>
        <w:t>;</w:t>
      </w:r>
    </w:p>
    <w:p w:rsidR="00A40EDA" w:rsidRPr="0096261F" w:rsidRDefault="00A40EDA" w:rsidP="00A40EDA">
      <w:pPr>
        <w:jc w:val="right"/>
        <w:rPr>
          <w:rFonts w:ascii="Arial" w:eastAsia="Times New Roman" w:hAnsi="Arial" w:cs="Arial"/>
          <w:color w:val="222222"/>
          <w:lang w:val="pt-PT" w:eastAsia="pt-BR"/>
        </w:rPr>
      </w:pPr>
      <w:r w:rsidRPr="0096261F">
        <w:rPr>
          <w:rFonts w:ascii="Arial" w:eastAsia="Times New Roman" w:hAnsi="Arial" w:cs="Arial"/>
          <w:color w:val="222222"/>
          <w:lang w:val="pt-PT" w:eastAsia="pt-BR"/>
        </w:rPr>
        <w:t>¹Discente de Medicina do Centro Universitário CESMAC, Maceió, Alagoas, Brasil</w:t>
      </w:r>
    </w:p>
    <w:p w:rsidR="00A40EDA" w:rsidRDefault="00716643" w:rsidP="00A40EDA">
      <w:pPr>
        <w:jc w:val="right"/>
        <w:rPr>
          <w:rFonts w:ascii="Arial" w:eastAsia="Times New Roman" w:hAnsi="Arial" w:cs="Arial"/>
          <w:color w:val="222222"/>
          <w:lang w:val="pt-PT" w:eastAsia="pt-BR"/>
        </w:rPr>
      </w:pPr>
      <w:r>
        <w:rPr>
          <w:rFonts w:ascii="Arial" w:eastAsia="Times New Roman" w:hAnsi="Arial" w:cs="Arial"/>
          <w:b/>
          <w:color w:val="222222"/>
          <w:lang w:val="pt-PT" w:eastAsia="pt-BR"/>
        </w:rPr>
        <w:t>²</w:t>
      </w:r>
      <w:r>
        <w:rPr>
          <w:rFonts w:ascii="Arial" w:eastAsia="Times New Roman" w:hAnsi="Arial" w:cs="Arial"/>
          <w:color w:val="222222"/>
          <w:lang w:val="pt-PT" w:eastAsia="pt-BR"/>
        </w:rPr>
        <w:t>Orientador, Médico, Maceió, Alagoas, Brasil</w:t>
      </w:r>
    </w:p>
    <w:p w:rsidR="00716643" w:rsidRPr="00716643" w:rsidRDefault="00716643" w:rsidP="00A40EDA">
      <w:pPr>
        <w:jc w:val="right"/>
        <w:rPr>
          <w:rFonts w:ascii="Arial" w:eastAsia="Times New Roman" w:hAnsi="Arial" w:cs="Arial"/>
          <w:color w:val="222222"/>
          <w:lang w:val="pt-PT" w:eastAsia="pt-BR"/>
        </w:rPr>
      </w:pPr>
    </w:p>
    <w:p w:rsidR="00A40EDA" w:rsidRDefault="0096261F" w:rsidP="00187F20">
      <w:pPr>
        <w:spacing w:line="276" w:lineRule="auto"/>
        <w:jc w:val="both"/>
        <w:rPr>
          <w:rFonts w:ascii="Arial" w:hAnsi="Arial" w:cs="Arial"/>
        </w:rPr>
      </w:pPr>
      <w:r w:rsidRPr="0096261F">
        <w:rPr>
          <w:rFonts w:ascii="Arial" w:hAnsi="Arial" w:cs="Arial"/>
          <w:b/>
        </w:rPr>
        <w:t>INTRODUÇÃO</w:t>
      </w:r>
      <w:r w:rsidRPr="0096261F">
        <w:rPr>
          <w:rFonts w:ascii="Arial" w:hAnsi="Arial" w:cs="Arial"/>
        </w:rPr>
        <w:t xml:space="preserve">: O termo Triple </w:t>
      </w:r>
      <w:proofErr w:type="spellStart"/>
      <w:r w:rsidRPr="0096261F">
        <w:rPr>
          <w:rFonts w:ascii="Arial" w:hAnsi="Arial" w:cs="Arial"/>
        </w:rPr>
        <w:t>Whammy</w:t>
      </w:r>
      <w:proofErr w:type="spellEnd"/>
      <w:r>
        <w:rPr>
          <w:rFonts w:ascii="Arial" w:hAnsi="Arial" w:cs="Arial"/>
        </w:rPr>
        <w:t xml:space="preserve"> (golpe triplo)</w:t>
      </w:r>
      <w:r w:rsidRPr="0096261F">
        <w:rPr>
          <w:rFonts w:ascii="Arial" w:hAnsi="Arial" w:cs="Arial"/>
        </w:rPr>
        <w:t xml:space="preserve"> define o tratamento farmacológico estabelecido de um inibidor da enzima de conversão da angiotensina ou antagonista da angiotensina II, de um não-diurético e um anti-inflamatório </w:t>
      </w:r>
      <w:proofErr w:type="spellStart"/>
      <w:r w:rsidRPr="0096261F">
        <w:rPr>
          <w:rFonts w:ascii="Arial" w:hAnsi="Arial" w:cs="Arial"/>
        </w:rPr>
        <w:t>esteróide</w:t>
      </w:r>
      <w:proofErr w:type="spellEnd"/>
      <w:r w:rsidRPr="0096261F">
        <w:rPr>
          <w:rFonts w:ascii="Arial" w:hAnsi="Arial" w:cs="Arial"/>
        </w:rPr>
        <w:t>. O uso concomitante desses três med</w:t>
      </w:r>
      <w:r>
        <w:rPr>
          <w:rFonts w:ascii="Arial" w:hAnsi="Arial" w:cs="Arial"/>
        </w:rPr>
        <w:t>icamentos está relacionado a um</w:t>
      </w:r>
      <w:r w:rsidRPr="0096261F">
        <w:rPr>
          <w:rFonts w:ascii="Arial" w:hAnsi="Arial" w:cs="Arial"/>
        </w:rPr>
        <w:t xml:space="preserve"> aumento do risco de insuficiência renal, especialmente em idosos, que costumam ser politicamente tratados.</w:t>
      </w:r>
      <w:r>
        <w:rPr>
          <w:rFonts w:ascii="Arial" w:hAnsi="Arial" w:cs="Arial"/>
        </w:rPr>
        <w:t xml:space="preserve"> </w:t>
      </w:r>
      <w:r w:rsidRPr="0096261F">
        <w:rPr>
          <w:rFonts w:ascii="Arial" w:hAnsi="Arial" w:cs="Arial"/>
          <w:b/>
        </w:rPr>
        <w:t>OBJETIVO: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Relatar um caso de uma paciente idosa que fez uso da combinação farmacológica do Triple </w:t>
      </w:r>
      <w:proofErr w:type="spellStart"/>
      <w:r>
        <w:rPr>
          <w:rFonts w:ascii="Arial" w:hAnsi="Arial" w:cs="Arial"/>
        </w:rPr>
        <w:t>Whammy</w:t>
      </w:r>
      <w:proofErr w:type="spellEnd"/>
      <w:r w:rsidR="00AA1C60">
        <w:rPr>
          <w:rFonts w:ascii="Arial" w:hAnsi="Arial" w:cs="Arial"/>
        </w:rPr>
        <w:t xml:space="preserve"> e evolui com insuficiência renal aguda. </w:t>
      </w:r>
      <w:r w:rsidR="00AA1C60" w:rsidRPr="00AA1C60">
        <w:rPr>
          <w:rFonts w:ascii="Arial" w:hAnsi="Arial" w:cs="Arial"/>
          <w:b/>
        </w:rPr>
        <w:t>MÉTODO</w:t>
      </w:r>
      <w:r w:rsidR="004A1089">
        <w:rPr>
          <w:rFonts w:ascii="Arial" w:hAnsi="Arial" w:cs="Arial"/>
          <w:b/>
        </w:rPr>
        <w:t>S</w:t>
      </w:r>
      <w:r w:rsidR="00AA1C60">
        <w:rPr>
          <w:rFonts w:ascii="Arial" w:hAnsi="Arial" w:cs="Arial"/>
          <w:b/>
        </w:rPr>
        <w:t xml:space="preserve">: </w:t>
      </w:r>
      <w:r w:rsidR="00AA1C60">
        <w:rPr>
          <w:rFonts w:ascii="Arial" w:hAnsi="Arial" w:cs="Arial"/>
        </w:rPr>
        <w:t xml:space="preserve">Exposição </w:t>
      </w:r>
      <w:r w:rsidR="00AA1C60" w:rsidRPr="00AA1C60">
        <w:rPr>
          <w:rFonts w:ascii="Arial" w:hAnsi="Arial" w:cs="Arial"/>
        </w:rPr>
        <w:t>de relato de caso e comparação com a literatura</w:t>
      </w:r>
      <w:r w:rsidR="00AA1C60">
        <w:rPr>
          <w:rFonts w:ascii="Arial" w:hAnsi="Arial" w:cs="Arial"/>
        </w:rPr>
        <w:t xml:space="preserve">. </w:t>
      </w:r>
      <w:r w:rsidR="00AA1C60">
        <w:rPr>
          <w:rFonts w:ascii="Arial" w:hAnsi="Arial" w:cs="Arial"/>
          <w:b/>
        </w:rPr>
        <w:t>RESULTADOS</w:t>
      </w:r>
      <w:r w:rsidR="00AA1C60" w:rsidRPr="00AA1C60">
        <w:rPr>
          <w:rFonts w:ascii="Arial" w:hAnsi="Arial" w:cs="Arial"/>
        </w:rPr>
        <w:t>: Apresentamos um caso de golpe triplo em uma mul</w:t>
      </w:r>
      <w:r w:rsidR="00AA1C60">
        <w:rPr>
          <w:rFonts w:ascii="Arial" w:hAnsi="Arial" w:cs="Arial"/>
        </w:rPr>
        <w:t xml:space="preserve">her hospitalizada de 79 anos </w:t>
      </w:r>
      <w:r w:rsidR="002103E8">
        <w:rPr>
          <w:rFonts w:ascii="Arial" w:hAnsi="Arial" w:cs="Arial"/>
        </w:rPr>
        <w:t>com</w:t>
      </w:r>
      <w:r w:rsidR="00AA1C60" w:rsidRPr="00AA1C60">
        <w:rPr>
          <w:rFonts w:ascii="Arial" w:hAnsi="Arial" w:cs="Arial"/>
        </w:rPr>
        <w:t xml:space="preserve"> astenia e edema facial. Ele havia tomado </w:t>
      </w:r>
      <w:proofErr w:type="spellStart"/>
      <w:r w:rsidR="00AA1C60" w:rsidRPr="00AA1C60">
        <w:rPr>
          <w:rFonts w:ascii="Arial" w:hAnsi="Arial" w:cs="Arial"/>
        </w:rPr>
        <w:t>cetoprofeno</w:t>
      </w:r>
      <w:proofErr w:type="spellEnd"/>
      <w:r w:rsidR="00AA1C60" w:rsidRPr="00AA1C60">
        <w:rPr>
          <w:rFonts w:ascii="Arial" w:hAnsi="Arial" w:cs="Arial"/>
        </w:rPr>
        <w:t xml:space="preserve"> por via oral (50 mg / dia) juntamente co</w:t>
      </w:r>
      <w:r w:rsidR="002A62C1">
        <w:rPr>
          <w:rFonts w:ascii="Arial" w:hAnsi="Arial" w:cs="Arial"/>
        </w:rPr>
        <w:t xml:space="preserve">m </w:t>
      </w:r>
      <w:proofErr w:type="spellStart"/>
      <w:r w:rsidR="002A62C1">
        <w:rPr>
          <w:rFonts w:ascii="Arial" w:hAnsi="Arial" w:cs="Arial"/>
        </w:rPr>
        <w:t>ciprofloxacina</w:t>
      </w:r>
      <w:proofErr w:type="spellEnd"/>
      <w:r w:rsidR="002A62C1">
        <w:rPr>
          <w:rFonts w:ascii="Arial" w:hAnsi="Arial" w:cs="Arial"/>
        </w:rPr>
        <w:t xml:space="preserve"> (500 mg / dia)</w:t>
      </w:r>
      <w:r w:rsidR="00AA1C60" w:rsidRPr="00AA1C60">
        <w:rPr>
          <w:rFonts w:ascii="Arial" w:hAnsi="Arial" w:cs="Arial"/>
        </w:rPr>
        <w:t xml:space="preserve"> por seis dias e estava em tratamento crônico com furosemida (25 mg / dia), aspirina (100 mg / di</w:t>
      </w:r>
      <w:r w:rsidR="002103E8">
        <w:rPr>
          <w:rFonts w:ascii="Arial" w:hAnsi="Arial" w:cs="Arial"/>
        </w:rPr>
        <w:t xml:space="preserve">a), </w:t>
      </w:r>
      <w:proofErr w:type="spellStart"/>
      <w:r w:rsidR="002103E8">
        <w:rPr>
          <w:rFonts w:ascii="Arial" w:hAnsi="Arial" w:cs="Arial"/>
        </w:rPr>
        <w:t>carvedilol</w:t>
      </w:r>
      <w:proofErr w:type="spellEnd"/>
      <w:r w:rsidR="002103E8">
        <w:rPr>
          <w:rFonts w:ascii="Arial" w:hAnsi="Arial" w:cs="Arial"/>
        </w:rPr>
        <w:t xml:space="preserve"> (12,5 mg / dia) </w:t>
      </w:r>
      <w:r w:rsidR="00AA1C60" w:rsidRPr="00AA1C60">
        <w:rPr>
          <w:rFonts w:ascii="Arial" w:hAnsi="Arial" w:cs="Arial"/>
        </w:rPr>
        <w:t xml:space="preserve">e </w:t>
      </w:r>
      <w:proofErr w:type="spellStart"/>
      <w:r w:rsidR="00AA1C60" w:rsidRPr="00AA1C60">
        <w:rPr>
          <w:rFonts w:ascii="Arial" w:hAnsi="Arial" w:cs="Arial"/>
        </w:rPr>
        <w:t>ramipril</w:t>
      </w:r>
      <w:proofErr w:type="spellEnd"/>
      <w:r w:rsidR="00AA1C60" w:rsidRPr="00AA1C60">
        <w:rPr>
          <w:rFonts w:ascii="Arial" w:hAnsi="Arial" w:cs="Arial"/>
        </w:rPr>
        <w:t xml:space="preserve"> (5 mg / dia). Uma semana depois, ele começou a sentir falta de apetite, astenia e edema facial. Os exames de sangue mostr</w:t>
      </w:r>
      <w:r w:rsidR="002A62C1">
        <w:rPr>
          <w:rFonts w:ascii="Arial" w:hAnsi="Arial" w:cs="Arial"/>
        </w:rPr>
        <w:t xml:space="preserve">aram insuficiência renal aguda e </w:t>
      </w:r>
      <w:proofErr w:type="spellStart"/>
      <w:r w:rsidR="00AA1C60" w:rsidRPr="00AA1C60">
        <w:rPr>
          <w:rFonts w:ascii="Arial" w:hAnsi="Arial" w:cs="Arial"/>
        </w:rPr>
        <w:t>descompensação</w:t>
      </w:r>
      <w:proofErr w:type="spellEnd"/>
      <w:r w:rsidR="00AA1C60" w:rsidRPr="00AA1C60">
        <w:rPr>
          <w:rFonts w:ascii="Arial" w:hAnsi="Arial" w:cs="Arial"/>
        </w:rPr>
        <w:t xml:space="preserve"> </w:t>
      </w:r>
      <w:r w:rsidR="002A62C1">
        <w:rPr>
          <w:rFonts w:ascii="Arial" w:hAnsi="Arial" w:cs="Arial"/>
        </w:rPr>
        <w:t xml:space="preserve">com </w:t>
      </w:r>
      <w:r w:rsidR="00AA1C60" w:rsidRPr="00AA1C60">
        <w:rPr>
          <w:rFonts w:ascii="Arial" w:hAnsi="Arial" w:cs="Arial"/>
        </w:rPr>
        <w:t>derra</w:t>
      </w:r>
      <w:r w:rsidR="002A62C1">
        <w:rPr>
          <w:rFonts w:ascii="Arial" w:hAnsi="Arial" w:cs="Arial"/>
        </w:rPr>
        <w:t>me pleural cardíaco e bilateral</w:t>
      </w:r>
      <w:r w:rsidR="00AA1C60" w:rsidRPr="00AA1C60">
        <w:rPr>
          <w:rFonts w:ascii="Arial" w:hAnsi="Arial" w:cs="Arial"/>
        </w:rPr>
        <w:t>. A gasometria mostrou acido</w:t>
      </w:r>
      <w:r w:rsidR="002A62C1">
        <w:rPr>
          <w:rFonts w:ascii="Arial" w:hAnsi="Arial" w:cs="Arial"/>
        </w:rPr>
        <w:t>se metabólica. As terapias e</w:t>
      </w:r>
      <w:r w:rsidR="00AA1C60" w:rsidRPr="00AA1C60">
        <w:rPr>
          <w:rFonts w:ascii="Arial" w:hAnsi="Arial" w:cs="Arial"/>
        </w:rPr>
        <w:t xml:space="preserve"> a hemodiális</w:t>
      </w:r>
      <w:r w:rsidR="002A62C1">
        <w:rPr>
          <w:rFonts w:ascii="Arial" w:hAnsi="Arial" w:cs="Arial"/>
        </w:rPr>
        <w:t>e foram inúteis e a paciente foi a óbito</w:t>
      </w:r>
      <w:r w:rsidR="00AA1C60" w:rsidRPr="00AA1C60">
        <w:rPr>
          <w:rFonts w:ascii="Arial" w:hAnsi="Arial" w:cs="Arial"/>
        </w:rPr>
        <w:t xml:space="preserve"> treze dias após a internação. A história sugere uma insuficiência renal aguda induzida por drogas, definida como golpe triplo. Os mecanismos provavelmente envolvidos são a inibição do tônus ​​do sistema arteriolar glomerular aferente, </w:t>
      </w:r>
      <w:r w:rsidR="002103E8">
        <w:rPr>
          <w:rFonts w:ascii="Arial" w:hAnsi="Arial" w:cs="Arial"/>
        </w:rPr>
        <w:t>mediado por</w:t>
      </w:r>
      <w:r w:rsidR="00AA1C60" w:rsidRPr="00AA1C60">
        <w:rPr>
          <w:rFonts w:ascii="Arial" w:hAnsi="Arial" w:cs="Arial"/>
        </w:rPr>
        <w:t xml:space="preserve"> prostaglandinas</w:t>
      </w:r>
      <w:r w:rsidR="002103E8">
        <w:rPr>
          <w:rFonts w:ascii="Arial" w:hAnsi="Arial" w:cs="Arial"/>
        </w:rPr>
        <w:t xml:space="preserve"> e repercussões nas arteríolas eferentes por intermédio da angiotensina. F</w:t>
      </w:r>
      <w:r w:rsidR="00AA1C60" w:rsidRPr="00AA1C60">
        <w:rPr>
          <w:rFonts w:ascii="Arial" w:hAnsi="Arial" w:cs="Arial"/>
        </w:rPr>
        <w:t xml:space="preserve">inalmente, os diuréticos </w:t>
      </w:r>
      <w:r w:rsidR="002103E8">
        <w:rPr>
          <w:rFonts w:ascii="Arial" w:hAnsi="Arial" w:cs="Arial"/>
        </w:rPr>
        <w:t>promoveram redução do volume plasmático que contribuiu para</w:t>
      </w:r>
      <w:r w:rsidR="00AA1C60" w:rsidRPr="00AA1C60">
        <w:rPr>
          <w:rFonts w:ascii="Arial" w:hAnsi="Arial" w:cs="Arial"/>
        </w:rPr>
        <w:t xml:space="preserve"> </w:t>
      </w:r>
      <w:r w:rsidR="002103E8">
        <w:rPr>
          <w:rFonts w:ascii="Arial" w:hAnsi="Arial" w:cs="Arial"/>
        </w:rPr>
        <w:t>redução da perfusão renal</w:t>
      </w:r>
      <w:r w:rsidR="00AA1C60" w:rsidRPr="00AA1C60">
        <w:rPr>
          <w:rFonts w:ascii="Arial" w:hAnsi="Arial" w:cs="Arial"/>
        </w:rPr>
        <w:t>.</w:t>
      </w:r>
      <w:r w:rsidR="00AA1C60">
        <w:rPr>
          <w:rFonts w:ascii="Arial" w:hAnsi="Arial" w:cs="Arial"/>
        </w:rPr>
        <w:t xml:space="preserve"> </w:t>
      </w:r>
      <w:r w:rsidR="00AA1C60">
        <w:rPr>
          <w:rFonts w:ascii="Arial" w:hAnsi="Arial" w:cs="Arial"/>
          <w:b/>
        </w:rPr>
        <w:t>CONCLUSÃ</w:t>
      </w:r>
      <w:r w:rsidR="00AA1C60" w:rsidRPr="00AA1C60">
        <w:rPr>
          <w:rFonts w:ascii="Arial" w:hAnsi="Arial" w:cs="Arial"/>
          <w:b/>
        </w:rPr>
        <w:t>O:</w:t>
      </w:r>
      <w:r w:rsidR="00AA1C60" w:rsidRPr="00AA1C60">
        <w:rPr>
          <w:rFonts w:ascii="Arial" w:hAnsi="Arial" w:cs="Arial"/>
        </w:rPr>
        <w:t xml:space="preserve"> O caso é sugestivo da necessidade de evitar associações entre inibidores da ECA, </w:t>
      </w:r>
      <w:proofErr w:type="spellStart"/>
      <w:r w:rsidR="00AA1C60" w:rsidRPr="00AA1C60">
        <w:rPr>
          <w:rFonts w:ascii="Arial" w:hAnsi="Arial" w:cs="Arial"/>
        </w:rPr>
        <w:t>AINEs</w:t>
      </w:r>
      <w:proofErr w:type="spellEnd"/>
      <w:r w:rsidR="00AA1C60" w:rsidRPr="00AA1C60">
        <w:rPr>
          <w:rFonts w:ascii="Arial" w:hAnsi="Arial" w:cs="Arial"/>
        </w:rPr>
        <w:t xml:space="preserve"> e diuréticos em idosos; o golpe triplo também foi descrito com o uso de inibidores da COX2.</w:t>
      </w:r>
    </w:p>
    <w:p w:rsidR="00187F20" w:rsidRDefault="00187F20" w:rsidP="00187F20">
      <w:pPr>
        <w:spacing w:line="276" w:lineRule="auto"/>
        <w:jc w:val="both"/>
        <w:rPr>
          <w:rFonts w:ascii="Arial" w:hAnsi="Arial" w:cs="Arial"/>
        </w:rPr>
      </w:pPr>
      <w:r w:rsidRPr="0077067A">
        <w:rPr>
          <w:rFonts w:ascii="Arial" w:hAnsi="Arial" w:cs="Arial"/>
          <w:b/>
        </w:rPr>
        <w:t>Palavras-chave:</w:t>
      </w:r>
      <w:r w:rsidRPr="00187F20">
        <w:rPr>
          <w:rFonts w:ascii="Arial" w:hAnsi="Arial" w:cs="Arial"/>
        </w:rPr>
        <w:t xml:space="preserve"> </w:t>
      </w:r>
      <w:r w:rsidR="009A327F">
        <w:rPr>
          <w:rFonts w:ascii="Arial" w:hAnsi="Arial" w:cs="Arial"/>
        </w:rPr>
        <w:t>Idoso; Insuficiência Renal</w:t>
      </w:r>
      <w:r w:rsidR="0077067A">
        <w:rPr>
          <w:rFonts w:ascii="Arial" w:hAnsi="Arial" w:cs="Arial"/>
        </w:rPr>
        <w:t>; Lesão Renal Aguda.</w:t>
      </w:r>
    </w:p>
    <w:p w:rsidR="009A327F" w:rsidRPr="00AA1C60" w:rsidRDefault="009A327F" w:rsidP="00187F20">
      <w:pPr>
        <w:spacing w:line="276" w:lineRule="auto"/>
        <w:jc w:val="both"/>
        <w:rPr>
          <w:rFonts w:ascii="Arial" w:hAnsi="Arial" w:cs="Arial"/>
        </w:rPr>
      </w:pPr>
    </w:p>
    <w:sectPr w:rsidR="009A327F" w:rsidRPr="00AA1C60" w:rsidSect="00A40E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DA"/>
    <w:rsid w:val="00124EE3"/>
    <w:rsid w:val="00187F20"/>
    <w:rsid w:val="002103E8"/>
    <w:rsid w:val="002A62C1"/>
    <w:rsid w:val="004A1089"/>
    <w:rsid w:val="00716643"/>
    <w:rsid w:val="0077067A"/>
    <w:rsid w:val="008151B2"/>
    <w:rsid w:val="0096261F"/>
    <w:rsid w:val="009A327F"/>
    <w:rsid w:val="00A40EDA"/>
    <w:rsid w:val="00AA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C332D-76B0-4BBA-A784-244F52BB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40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40EDA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Henrique</dc:creator>
  <cp:keywords/>
  <dc:description/>
  <cp:lastModifiedBy>Usuario</cp:lastModifiedBy>
  <cp:revision>4</cp:revision>
  <dcterms:created xsi:type="dcterms:W3CDTF">2019-08-31T16:05:00Z</dcterms:created>
  <dcterms:modified xsi:type="dcterms:W3CDTF">2019-08-31T19:06:00Z</dcterms:modified>
</cp:coreProperties>
</file>