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 w:before="480" w:after="120"/>
        <w:ind w:right="160" w:hanging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PERFIL HEMATOLÓGICO E BIOQUÍMICO DE CÃES E GATOS COM ERLIQUIOSE ATENDIDOS NO HOSPITAL VETERINÁRIO DA UNIVERSIDADE FEDERAL DO NORTE DO TOCANTINS ENTRE OS ANOS 2015 E 2024.</w:t>
      </w:r>
    </w:p>
    <w:p>
      <w:pPr>
        <w:pStyle w:val="Normal"/>
        <w:pBdr/>
        <w:spacing w:lineRule="auto" w:line="360"/>
        <w:ind w:right="97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LOPES, </w:t>
      </w:r>
      <w:r>
        <w:rPr>
          <w:rFonts w:cs="Arial" w:ascii="Arial" w:hAnsi="Arial"/>
          <w:color w:val="000000"/>
          <w:sz w:val="24"/>
          <w:szCs w:val="24"/>
        </w:rPr>
        <w:t xml:space="preserve">Lucas Braga¹;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MOURA, </w:t>
      </w:r>
      <w:r>
        <w:rPr>
          <w:rFonts w:cs="Arial" w:ascii="Arial" w:hAnsi="Arial"/>
          <w:color w:val="000000"/>
          <w:sz w:val="24"/>
          <w:szCs w:val="24"/>
        </w:rPr>
        <w:t>Laiane Teixeira Sousa²</w:t>
      </w:r>
    </w:p>
    <w:p>
      <w:pPr>
        <w:pStyle w:val="Normal"/>
        <w:pBdr/>
        <w:spacing w:lineRule="auto" w:line="360"/>
        <w:ind w:right="97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</w:t>
      </w:r>
    </w:p>
    <w:p>
      <w:pPr>
        <w:pStyle w:val="Normal"/>
        <w:pBdr/>
        <w:spacing w:lineRule="auto" w:line="240"/>
        <w:ind w:right="97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1 Bolsista do Programa de Iniciação Científica (PIBIC). Universidade Federal do Norte do Tocantins (UFNT), Centro de Ciências Agrárias. Lucas.lopes@ufnt.edu.br</w:t>
      </w:r>
    </w:p>
    <w:p>
      <w:pPr>
        <w:pStyle w:val="Normal"/>
        <w:pBdr/>
        <w:spacing w:lineRule="auto" w:line="240"/>
        <w:ind w:right="97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 Professora Doutora da Escola de Medicina Veterinária. Universidade Federal do Norte do Tocantins (UFNT), Centro de Ciências Agrárias, coordenadora do projeto de pesquisa. Laiane.moura@ufnt.edu.br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RESUMO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  <w:t xml:space="preserve">O presente estudo analisou a erliquiose em cães e gatos atendidos na Clínica Veterinária Universitária da Universidade Federal do Norte do Tocantins (UFNT), Campus Araguaína, entre 2015 e 2024. A doença, transmitida principalmente pelo carrapato </w:t>
      </w:r>
      <w:r>
        <w:rPr>
          <w:rFonts w:eastAsia="Arial" w:cs="Arial" w:ascii="Arial" w:hAnsi="Arial"/>
          <w:bCs/>
          <w:i/>
          <w:iCs/>
          <w:sz w:val="24"/>
          <w:szCs w:val="24"/>
        </w:rPr>
        <w:t>Rhipicephalus sanguineus</w:t>
      </w:r>
      <w:r>
        <w:rPr>
          <w:rFonts w:eastAsia="Arial" w:cs="Arial" w:ascii="Arial" w:hAnsi="Arial"/>
          <w:bCs/>
          <w:sz w:val="24"/>
          <w:szCs w:val="24"/>
        </w:rPr>
        <w:t xml:space="preserve">, representa um desafio diagnóstico devido aos sinais clínicos variáveis, sendo fundamentais os exames laboratoriais para confirmação. Foram avaliados 712 animais, sendo 657 cães (92,27%) e 55 gatos (7,72%). Nos cães, a anemia foi observada em 50,46% dos casos e a trombocitopenia em 35,27%, acompanhadas de alterações no leucograma, como leucocitose, eosinopenia, monocitopenia e desvio à esquerda em neutrófilos. Nos parâmetros bioquímicos, foram frequentes os aumentos de alanina aminotransferase (ALT), creatinina, fosfatase alcalina (FA) e ureia, indicando comprometimento renal e hepático. Nos felinos, ainda que em menor número, observaram-se resultados semelhantes: anemia (18,86%), trombocitopenia (34,58%) e alterações leucocitárias. Exames bioquímicos também mostraram elevação de ALT, FA, creatinina e ureia em parte dos pacientes. 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Palavras-chave</w:t>
      </w:r>
      <w:r>
        <w:rPr>
          <w:rFonts w:eastAsia="Arial" w:cs="Arial" w:ascii="Arial" w:hAnsi="Arial"/>
          <w:sz w:val="24"/>
          <w:szCs w:val="24"/>
        </w:rPr>
        <w:t>: Erliquiose. Alterações Hematológicas. Parâmetros Bioquímicos.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INTRODUÇÃO/JUSTIFICATIVA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presente artigo aborda a erliquiose em cães e gatos, uma enfermidade bacteriana infecciosa de alta relevância clínica e epidemiológica, transmitida principalmente pelo carrapato </w:t>
      </w:r>
      <w:r>
        <w:rPr>
          <w:rFonts w:cs="Arial" w:ascii="Arial" w:hAnsi="Arial"/>
          <w:i/>
          <w:iCs/>
          <w:sz w:val="24"/>
          <w:szCs w:val="24"/>
        </w:rPr>
        <w:t>Rhipicephalus sanguineus</w:t>
      </w:r>
      <w:r>
        <w:rPr>
          <w:rFonts w:cs="Arial" w:ascii="Arial" w:hAnsi="Arial"/>
          <w:sz w:val="24"/>
          <w:szCs w:val="24"/>
        </w:rPr>
        <w:t xml:space="preserve">. A pesquisa foi desenvolvida na Clínica Veterinária Universitária da Universidade Federal do Norte do Tocantins (UFNT), Campus Araguaína, entre os anos de 2015 e 2024, por meio da análise de prontuários de pacientes atendidos com diagnóstico confirmado da doença. O estudo concentrou-se na avaliação de alterações hematológicas e bioquímicas, possibilitando identificar a frequência de manifestações como anemia, trombocitopenia, alterações leucocitárias e elevação de marcadores bioquímicos. 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erliquiose representa um desafio diagnóstico e terapêutico para a medicina veterinária, visto que seus sinais clínicos são variáveis e muitas vezes inespecíficos. As atividades desenvolvidas na pesquisa, baseadas em levantamento retrospectivo de dados laboratoriais e clínicos de 712 animais (92,27% cães e 7,72% felinos), foram relevantes ao permitirem a caracterização dos principais padrões hematológicos e bioquímicos associados à doença. Esses resultados reforçam evidências de literatura que destacam a anemia e a trombocitopenia como alterações marcantes, além de confirmarem a importância do monitoramento de parâmetros renais e hepáticos no prognóstico da enfermidade.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atividades foram conduzidas em um contexto que integra ensino, pesquisa e extensão, uma vez que os casos analisados são provenientes da rotina da Clínica Veterinária Universitária, vinculando o atendimento à comunidade à produção de conhecimento científico. Essa indissociabilidade permitiu que a pesquisa se tornasse significativa tanto para a formação de estudantes de graduação e pós-graduação quanto para a prática profissional futura, além de fortalecer o papel social da universidade ao oferecer diagnóstico e acompanhamento clínico de qualidade à população local.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BASE TEÓRICA</w:t>
      </w:r>
    </w:p>
    <w:p>
      <w:pPr>
        <w:pStyle w:val="Standard"/>
        <w:spacing w:lineRule="auto" w:line="360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Animais imunocompetentes conseguem debelar o parasita não desenvolvendo a apresentação crônica da enfermidade; quando isso não ocorre, os animais tornam-se infectados crônicos (SILVA </w:t>
      </w:r>
      <w:r>
        <w:rPr>
          <w:rFonts w:cs="Arial" w:ascii="Arial" w:hAnsi="Arial"/>
          <w:i/>
          <w:iCs/>
          <w:color w:val="000000"/>
          <w:sz w:val="24"/>
          <w:szCs w:val="24"/>
        </w:rPr>
        <w:t>et al</w:t>
      </w:r>
      <w:r>
        <w:rPr>
          <w:rFonts w:cs="Arial" w:ascii="Arial" w:hAnsi="Arial"/>
          <w:color w:val="000000"/>
          <w:sz w:val="24"/>
          <w:szCs w:val="24"/>
        </w:rPr>
        <w:t xml:space="preserve">, 2015). No Brasil, o diagnóstico tem-se fundamentado recorrentemente no diagnóstico direto a partir de esfregaços sanguíneos e provas sorológicas (CARLOS </w:t>
      </w:r>
      <w:r>
        <w:rPr>
          <w:rFonts w:cs="Arial" w:ascii="Arial" w:hAnsi="Arial"/>
          <w:i/>
          <w:iCs/>
          <w:color w:val="000000"/>
          <w:sz w:val="24"/>
          <w:szCs w:val="24"/>
        </w:rPr>
        <w:t>et al</w:t>
      </w:r>
      <w:r>
        <w:rPr>
          <w:rFonts w:cs="Arial" w:ascii="Arial" w:hAnsi="Arial"/>
          <w:color w:val="000000"/>
          <w:sz w:val="24"/>
          <w:szCs w:val="24"/>
        </w:rPr>
        <w:t xml:space="preserve">, 2007; SOARES </w:t>
      </w:r>
      <w:r>
        <w:rPr>
          <w:rFonts w:cs="Arial" w:ascii="Arial" w:hAnsi="Arial"/>
          <w:i/>
          <w:iCs/>
          <w:color w:val="000000"/>
          <w:sz w:val="24"/>
          <w:szCs w:val="24"/>
        </w:rPr>
        <w:t>et al</w:t>
      </w:r>
      <w:r>
        <w:rPr>
          <w:rFonts w:cs="Arial" w:ascii="Arial" w:hAnsi="Arial"/>
          <w:color w:val="000000"/>
          <w:sz w:val="24"/>
          <w:szCs w:val="24"/>
        </w:rPr>
        <w:t xml:space="preserve">, 2006), embora isto dificulte a identificação da prevalência do patógeno devido à baixa sensibilidade (MYLONAKYS </w:t>
      </w:r>
      <w:r>
        <w:rPr>
          <w:rFonts w:cs="Arial" w:ascii="Arial" w:hAnsi="Arial"/>
          <w:i/>
          <w:iCs/>
          <w:color w:val="000000"/>
          <w:sz w:val="24"/>
          <w:szCs w:val="24"/>
        </w:rPr>
        <w:t>et al</w:t>
      </w:r>
      <w:r>
        <w:rPr>
          <w:rFonts w:cs="Arial" w:ascii="Arial" w:hAnsi="Arial"/>
          <w:color w:val="000000"/>
          <w:sz w:val="24"/>
          <w:szCs w:val="24"/>
        </w:rPr>
        <w:t>, 2003). Deste modo, uma forma de aumentar a eficiência do diagnóstico é através da associação do perfil hematológico e bioquímico do paciente.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OBJETIVOS</w:t>
      </w:r>
    </w:p>
    <w:p>
      <w:pPr>
        <w:pStyle w:val="Standard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Avaliar as alterações hematológicas e bioquímicas e sua frequência em pacientes positivos para erliquiose atendidos na  Clínica Veterinária Universitária (CVU) da UFNT campus Araguaína-TO, entre os anos 2015 e 2024.</w:t>
      </w:r>
    </w:p>
    <w:p>
      <w:pPr>
        <w:pStyle w:val="Standard"/>
        <w:spacing w:lineRule="auto" w:line="360"/>
        <w:ind w:firstLine="72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Objetivos Específicos</w:t>
      </w:r>
    </w:p>
    <w:p>
      <w:pPr>
        <w:pStyle w:val="Standard"/>
        <w:spacing w:lineRule="auto" w:line="360"/>
        <w:ind w:right="4"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Verificar a frequência de cães e gatos diagnosticados com erliquiose atendidos na CVU-UFNT Campus Araguaína-TO; Identificar as alterações no perfil hematológico e bioquímico de cães e gatos com erliquiose; Verificar a frequência das alterações hematológicas e bioquímicas identificadas em cães e gatos diagnosticados com erliquiose atendidos na CVU-UFNT Campus Araguaína-TO.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METODOLOGIA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presente trabalho foi desenvolvido na Clínica Veterinária Universitária do Centro de Ciências Agrárias da Universidade Federal do Norte do Tocantins, Campus Araguaína (CVU/CCA/UFNT), localizada no município de Araguaína – TO.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Nesse contexto, o estudo consiste na avaliação de cães e gatos, sem distinção de raça, sexo ou idade, atendidos na CVU/CCA/UFNT e diagnosticados com erliquiose entre os anos de 2015 e 2024.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Além disso, foram selecionados exclusivamente os cães e gatos que apresentaram diagnóstico confirmado de erliquiose durante o atendimento na CVU no período de 2015 a 2024.</w:t>
      </w:r>
    </w:p>
    <w:p>
      <w:pPr>
        <w:pStyle w:val="Normal"/>
        <w:spacing w:lineRule="auto" w:line="36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fim, nesses animais foram observados os exames laboratoriais hematológicos e bioquímicos realizados, bem como as alterações apresentadas tanto no momento do diagnóstico quanto ao longo do tratamento instituído até a cura do paciente.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RESULTADOS E DISCUSSÃO</w:t>
      </w:r>
    </w:p>
    <w:p>
      <w:pPr>
        <w:pStyle w:val="Normal"/>
        <w:suppressAutoHyphens w:val="false"/>
        <w:spacing w:lineRule="auto" w:line="360" w:beforeAutospacing="1" w:afterAutospacing="1"/>
        <w:ind w:firstLine="36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Entre os anos de 2015 e 2024, foram atendidos 712 animais com diagnóstico de erliquiose na CVU-UFNT, dos quais 657 eram cães (92,27%) e 55 felinos (7,72%). No eritrograma, a contagem de hemácias e plaquetas mostrou-se fundamental para avaliação clínica, evidenciando anemia e trombocitopenia como alterações frequentes (SILVA, 2015). No leucograma, também se destacaram alterações em leucócitos totais, eosinófilos, monócitos e neutrófilos bastonetes (WALDEMARIN et al., 2003). Já nos parâmetros bioquímicos, observou-se relevância nas funções renal e hepática, uma vez que a enfermidade pode desencadear glomerulonefrite na fase subclínica (CODNER, 1992) e comprometimento hepático em estágios avançados, sendo comum o aumento de ALT, creatinina, FA e ureia (ANDEREG; PASSOS, 1999).</w:t>
      </w:r>
    </w:p>
    <w:p>
      <w:pPr>
        <w:pStyle w:val="Normal"/>
        <w:suppressAutoHyphens w:val="false"/>
        <w:spacing w:lineRule="auto" w:line="360" w:beforeAutospacing="1" w:afterAutospacing="1"/>
        <w:ind w:firstLine="36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Nos cães, 652 exames de hemácias revelaram 329 casos de anemia (50,46%). A contagem de plaquetas foi realizada em 652 indivíduos, dos quais 230 (35,27%) apresentaram trombocitopenia e 110 (16,87%) trombocitose. O leucograma foi avaliado em 656 animais, registrando 68 (10,36%) leucopenias e 100 (15,24%) leucocitoses, além de 127 eosinopenias (19,35%), 46 eosinofilias (8,53%), 256 monocitopenias (39,02%), 27 monocitoses (4,11%) e 86 desvios à esquerda (13,10%). Na bioquímica, 223 cães tiveram ALT dosada, com 47 (21,07%) valores elevados e 6 (2,6%) reduzidos. A creatinina foi avaliada em 260 cães, com 26 (10%) níveis altos e 12 (4,61%) baixos. Na FA, 204 testes mostraram 59 (28,91%) aumentos e 6 (2,91%) reduções. Para a ureia, 187 exames revelaram 22 (11,76%) aumentos e 19 (10,16%) reduções.</w:t>
      </w:r>
    </w:p>
    <w:p>
      <w:pPr>
        <w:pStyle w:val="Normal"/>
        <w:suppressAutoHyphens w:val="false"/>
        <w:spacing w:lineRule="auto" w:line="360" w:beforeAutospacing="1" w:afterAutospacing="1"/>
        <w:ind w:firstLine="36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Nos felinos, 53 exames de hemácias mostraram 10 (18,86%) casos de anemia. A contagem de plaquetas em 52 animais revelou 18 (34,58%) trombocitopenias e 5 (9,61%) trombocitoses. No leucograma (51 avaliados), 5 (9,80%) apresentaram leucopenia e 4 (7,84%) leucocitose, além de 6 eosinopenias (11,76%), 4 eosinofilias (7,84%), 16 monocitopenias (31,37%), 2 monocitoses (3,92%) e 4 desvios à esquerda (7,84%). Em relação à bioquímica, 21 exames de ALT revelaram 4 (19,04%) aumentos e 3 (14,28%) reduções. Na creatinina, 23 avaliações mostraram 4 (17,39%) aumentos e 3 (13,04%) reduções. A ureia foi quantificada em 22 animais, com 3 (13,63%) aumentos e 5 (22,72%) reduções. Na FA, 17 exames registraram 6 aumentos (35,29%).</w:t>
      </w:r>
    </w:p>
    <w:p>
      <w:pPr>
        <w:pStyle w:val="Normal"/>
        <w:suppressAutoHyphens w:val="false"/>
        <w:spacing w:lineRule="auto" w:line="360" w:beforeAutospacing="1" w:afterAutospacing="1"/>
        <w:ind w:firstLine="36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Esses resultados corroboram a literatura, que aponta anemia e trombocitopenia como alterações marcantes da erliquiose (HARRUS; WANER, 2011). Quanto aos leucócitos, verificou-se predominância de leucocitose, em consonância com WALDEMARIN et al. (2003), que relatam baixa frequência de leucopenia. Alterações como monocitopenia e desvio à esquerda também foram confirmadas, conforme HARRUS; WANER (2011). Já os achados bioquímicos reforçam o descrito por ANDEREG; PASSOS (1999), demonstrando elevação de marcadores renais e hepáticos (ALT, creatinina, FA e ureia) em ambas as espécies.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CONCLUSÃO/CONSIDERAÇÕES FINAIS</w:t>
      </w:r>
    </w:p>
    <w:p>
      <w:pPr>
        <w:pStyle w:val="Normal"/>
        <w:spacing w:lineRule="auto" w:line="360"/>
        <w:ind w:right="431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presente estudo permitiu caracterizar as principais alterações hematológicas e bioquímicas em cães e gatos diagnosticados com erliquiose no período de 2015 a 2024. </w:t>
      </w:r>
    </w:p>
    <w:p>
      <w:pPr>
        <w:pStyle w:val="Normal"/>
        <w:spacing w:lineRule="auto" w:line="360"/>
        <w:ind w:right="431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Entre os achados hematológicos, destacaram-se a elevada frequência de anemia e trombocitopenia, corroborando a literatura e confirmando a importância destes parâmetros no diagnóstico da doença. Além disso, foram observadas alterações no leucograma, especialmente monocitopenia, eosinopenia e leucocitose, bem como aumento de neutrófilos bastonetes, configurando desvio à esquerda.</w:t>
      </w:r>
    </w:p>
    <w:p>
      <w:pPr>
        <w:pStyle w:val="Normal"/>
        <w:spacing w:lineRule="auto" w:line="360"/>
        <w:ind w:right="431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Nos exames bioquímicos, verificou-se a elevação de marcadores renais e hepáticos (ALT, creatinina, fosfatase alcalina e ureia), o que reforça o impacto sistêmico da erliquiose.</w:t>
      </w:r>
    </w:p>
    <w:p>
      <w:pPr>
        <w:pStyle w:val="Normal"/>
        <w:spacing w:lineRule="auto" w:line="360"/>
        <w:ind w:right="431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 modo geral, os resultados obtidos corroboram os achados prévios descritos na literatura nacional e internacional, fortalecendo a compreensão da importância da avaliação hematológica e bioquímica no diagnóstico, monitoramento e prognóstico da erliquiose em pequenos animais.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REFERÊNCIAS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  <w:t>ANDEREG, P.I.; PASSOS, L.M. Erliquiose canina: revisão. RevistaClínica Veterinária.V.4, n.19, p.-31-38, 1999.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  <w:t>CARLOS, R.S.A. Freqüência de anticorpos anti-Erhlichia canis, Borrelia burgdorferie antígenos deDirofilaria immitisem cães na microrregião de Ilhéus-Itabuna, Bahia, Brasil.Revista Brasileira de Parasitologia Veterinária. V. 16, n. 3, p. 117-120, 2007.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eastAsia="SimSun" w:cs="Arial"/>
          <w:color w:val="000000"/>
          <w:kern w:val="2"/>
          <w:sz w:val="24"/>
          <w:szCs w:val="24"/>
        </w:rPr>
      </w:pPr>
      <w:r>
        <w:rPr>
          <w:rFonts w:eastAsia="SimSun" w:cs="Arial" w:ascii="Arial" w:hAnsi="Arial"/>
          <w:color w:val="000000"/>
          <w:kern w:val="2"/>
          <w:sz w:val="24"/>
          <w:szCs w:val="24"/>
          <w:lang w:val="en-US"/>
        </w:rPr>
        <w:t xml:space="preserve">CODNER, E.C.; MASLIN, W. Investigation of renal protein loss in dogs with acute experimentally induced Ehrlichia canis infection. </w:t>
      </w:r>
      <w:r>
        <w:rPr>
          <w:rFonts w:eastAsia="SimSun" w:cs="Arial" w:ascii="Arial" w:hAnsi="Arial"/>
          <w:color w:val="000000"/>
          <w:kern w:val="2"/>
          <w:sz w:val="24"/>
          <w:szCs w:val="24"/>
        </w:rPr>
        <w:t>Am. J. Vet. Res., 53 (3):264-9, 1992.</w:t>
      </w:r>
    </w:p>
    <w:p>
      <w:pPr>
        <w:pStyle w:val="Standard"/>
        <w:ind w:right="-27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  <w:t>HARRUS, S, WANER, T. Diagnosis of canine monocytotropic ehrlichiosis (Ehrlichia canis): an overview. The Veterinary Journal. London. V. 187, p. 292-296, 2011.HOLANDA, L.C.; ALMEIDA, T.L.A.C.; OLIVEIRA, J.M.B.; OLIVEIRA, A.A.F. Achados Hematológicos em Sangue e Medula Óssea de cães naturalmente infectados por Ehrlichia spp. e Anaplasmaspp. Ciência Animal Brasileira. Goiânia. V.20, p. 1-12, 2011.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  <w:lang w:val="en-US"/>
        </w:rPr>
        <w:t xml:space="preserve">MYLONAKYS, M.E. A.Evaluation of cytology in the diagnosis of acute canine monocyticehrlichiosis (Ehrlichia canis): a comparison between five methods.Veterinary Microbiology. </w:t>
      </w:r>
      <w:r>
        <w:rPr>
          <w:rFonts w:cs="Arial" w:ascii="Arial" w:hAnsi="Arial"/>
          <w:color w:val="000000"/>
          <w:kern w:val="2"/>
          <w:sz w:val="24"/>
          <w:szCs w:val="24"/>
        </w:rPr>
        <w:t>V. 91, n. 2/3, p. 197-204, 2003.</w:t>
      </w:r>
    </w:p>
    <w:p>
      <w:pPr>
        <w:pStyle w:val="Standard"/>
        <w:ind w:right="-27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  <w:t>SOARES, A.O. Avaliação ectoparasitológica e hemoparasitológica em cães criados em apartamentos e casas com quintal na cidade de Juiz de Fora, MG.Revista Brasileira de Parasitologia Veterinária. V. 15, n. 1, p. 13-16, 2006.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  <w:t>SILVA, M.V.M.; FERNANDES, R.A.; NOGUEIRA, J.L.; AMBRÓSIO, C.E. Erliquiose Canina: Revisão de Literatura. Arquivo de Ciências Veterinárias e Zoologia da UNIPAR. V. 14, n. 2, p. 139-143, 2015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  <w:lang w:val="en-US"/>
        </w:rPr>
      </w:pPr>
      <w:r>
        <w:rPr>
          <w:rFonts w:cs="Arial" w:ascii="Arial" w:hAnsi="Arial"/>
          <w:color w:val="000000"/>
          <w:kern w:val="2"/>
          <w:sz w:val="24"/>
          <w:szCs w:val="24"/>
        </w:rPr>
        <w:t>WALDEMARIN, K.C.A.; MUNDIM, A.V.; BASTOS, J.E.D. et al. Alterações hematológicas em cães (</w:t>
      </w:r>
      <w:r>
        <w:rPr>
          <w:rFonts w:cs="Arial" w:ascii="Arial" w:hAnsi="Arial"/>
          <w:i/>
          <w:color w:val="000000"/>
          <w:kern w:val="2"/>
          <w:sz w:val="24"/>
          <w:szCs w:val="24"/>
        </w:rPr>
        <w:t>Canis familiaris</w:t>
      </w:r>
      <w:r>
        <w:rPr>
          <w:rFonts w:cs="Arial" w:ascii="Arial" w:hAnsi="Arial"/>
          <w:color w:val="000000"/>
          <w:kern w:val="2"/>
          <w:sz w:val="24"/>
          <w:szCs w:val="24"/>
        </w:rPr>
        <w:t>) naturalmente infectados por </w:t>
      </w:r>
      <w:r>
        <w:rPr>
          <w:rFonts w:cs="Arial" w:ascii="Arial" w:hAnsi="Arial"/>
          <w:i/>
          <w:color w:val="000000"/>
          <w:kern w:val="2"/>
          <w:sz w:val="24"/>
          <w:szCs w:val="24"/>
        </w:rPr>
        <w:t>Ehrlichia</w:t>
      </w:r>
      <w:r>
        <w:rPr>
          <w:rFonts w:cs="Arial" w:ascii="Arial" w:hAnsi="Arial"/>
          <w:color w:val="000000"/>
          <w:kern w:val="2"/>
          <w:sz w:val="24"/>
          <w:szCs w:val="24"/>
        </w:rPr>
        <w:t> spp. </w:t>
      </w:r>
      <w:r>
        <w:rPr>
          <w:rFonts w:cs="Arial" w:ascii="Arial" w:hAnsi="Arial"/>
          <w:i/>
          <w:color w:val="000000"/>
          <w:kern w:val="2"/>
          <w:sz w:val="24"/>
          <w:szCs w:val="24"/>
          <w:lang w:val="en-US"/>
        </w:rPr>
        <w:t>Vet. Not</w:t>
      </w:r>
      <w:r>
        <w:rPr>
          <w:rFonts w:cs="Arial" w:ascii="Arial" w:hAnsi="Arial"/>
          <w:color w:val="000000"/>
          <w:kern w:val="2"/>
          <w:sz w:val="24"/>
          <w:szCs w:val="24"/>
          <w:lang w:val="en-US"/>
        </w:rPr>
        <w:t>, v.9, p.23-29, 2003.</w:t>
      </w:r>
    </w:p>
    <w:p>
      <w:pPr>
        <w:pStyle w:val="Standard"/>
        <w:ind w:right="-279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  <w:lang w:val="en-US"/>
        </w:rPr>
      </w:pPr>
      <w:r>
        <w:rPr>
          <w:rFonts w:cs="Arial" w:ascii="Arial" w:hAnsi="Arial"/>
          <w:color w:val="000000"/>
          <w:kern w:val="2"/>
          <w:sz w:val="24"/>
          <w:szCs w:val="24"/>
          <w:lang w:val="en-US"/>
        </w:rPr>
        <w:t>WARNER, T.; HARRUS, S. Canine monocytic ehrlichiosis. In: ______ </w:t>
      </w:r>
      <w:r>
        <w:rPr>
          <w:rFonts w:cs="Arial" w:ascii="Arial" w:hAnsi="Arial"/>
          <w:i/>
          <w:color w:val="000000"/>
          <w:kern w:val="2"/>
          <w:sz w:val="24"/>
          <w:szCs w:val="24"/>
          <w:lang w:val="en-US"/>
        </w:rPr>
        <w:t>Recent advances in canine infectious diseases</w:t>
      </w:r>
      <w:r>
        <w:rPr>
          <w:rFonts w:cs="Arial" w:ascii="Arial" w:hAnsi="Arial"/>
          <w:color w:val="000000"/>
          <w:kern w:val="2"/>
          <w:sz w:val="24"/>
          <w:szCs w:val="24"/>
          <w:lang w:val="en-US"/>
        </w:rPr>
        <w:t> Ithaca: L.E. Carmachael, 2000.</w:t>
      </w:r>
    </w:p>
    <w:p>
      <w:pPr>
        <w:pStyle w:val="Standard"/>
        <w:ind w:right="-279" w:hanging="0"/>
        <w:rPr>
          <w:rFonts w:ascii="Arial" w:hAnsi="Arial" w:cs="Arial"/>
          <w:color w:val="000000"/>
          <w:kern w:val="2"/>
          <w:sz w:val="24"/>
          <w:szCs w:val="24"/>
          <w:lang w:val="en-US"/>
        </w:rPr>
      </w:pPr>
      <w:r>
        <w:rPr>
          <w:rFonts w:cs="Arial" w:ascii="Arial" w:hAnsi="Arial"/>
          <w:color w:val="000000"/>
          <w:kern w:val="2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AGRADECIMENTOS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presente trabalho foi realizado com o apoio do Fundo de Amparo à Pesquisa do Tocantins (FAPT).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418" w:footer="709" w:bottom="1418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a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fc3814"/>
    <w:rPr>
      <w:sz w:val="20"/>
      <w:szCs w:val="20"/>
    </w:rPr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c3814"/>
    <w:rPr>
      <w:vertAlign w:val="superscript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fc3814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d83d37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d83d3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LibreOffice/7.4.0.3$Windows_X86_64 LibreOffice_project/f85e47c08ddd19c015c0114a68350214f7066f5a</Application>
  <AppVersion>15.0000</AppVersion>
  <Pages>7</Pages>
  <Words>1848</Words>
  <Characters>9984</Characters>
  <CharactersWithSpaces>11809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2025-10-04T20:20:00Z</dcterms:created>
  <dc:creator>Anônimo</dc:creator>
  <dc:description/>
  <dc:language>pt-BR</dc:language>
  <cp:lastModifiedBy/>
  <dcterms:modified xsi:type="dcterms:W3CDTF">2025-10-13T22:47:44Z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