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7D015" w14:textId="77777777" w:rsidR="00317882" w:rsidRDefault="00000000">
      <w:pPr>
        <w:pBdr>
          <w:top w:val="nil"/>
          <w:left w:val="nil"/>
          <w:bottom w:val="nil"/>
          <w:right w:val="nil"/>
          <w:between w:val="nil"/>
        </w:pBdr>
        <w:rPr>
          <w:color w:val="000000"/>
          <w:sz w:val="24"/>
          <w:szCs w:val="24"/>
        </w:rPr>
      </w:pPr>
      <w:r>
        <w:rPr>
          <w:noProof/>
          <w:color w:val="000000"/>
          <w:sz w:val="24"/>
          <w:szCs w:val="24"/>
        </w:rPr>
        <w:drawing>
          <wp:anchor distT="0" distB="0" distL="0" distR="0" simplePos="0" relativeHeight="251658240" behindDoc="0" locked="0" layoutInCell="1" hidden="0" allowOverlap="1" wp14:anchorId="7D0FE907" wp14:editId="666BB843">
            <wp:simplePos x="0" y="0"/>
            <wp:positionH relativeFrom="page">
              <wp:posOffset>0</wp:posOffset>
            </wp:positionH>
            <wp:positionV relativeFrom="page">
              <wp:posOffset>9525</wp:posOffset>
            </wp:positionV>
            <wp:extent cx="7736422" cy="1082904"/>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7736422" cy="1082904"/>
                    </a:xfrm>
                    <a:prstGeom prst="rect">
                      <a:avLst/>
                    </a:prstGeom>
                    <a:ln/>
                  </pic:spPr>
                </pic:pic>
              </a:graphicData>
            </a:graphic>
          </wp:anchor>
        </w:drawing>
      </w:r>
    </w:p>
    <w:p w14:paraId="583697A2" w14:textId="77777777" w:rsidR="00317882" w:rsidRDefault="00000000">
      <w:pPr>
        <w:pStyle w:val="Ttulo"/>
        <w:ind w:firstLine="75"/>
      </w:pPr>
      <w:r>
        <w:t>EXPANSÃO URBANA NO MUNICÍPIO DE FRUTAL – MG ENTRE 1994 E 2024: UMA ABORDAGEM BASEADA EM SISTEMAS DE INFORMAÇÃO GEOGRÁFICA (SIG)</w:t>
      </w:r>
    </w:p>
    <w:p w14:paraId="4164122B" w14:textId="77777777" w:rsidR="00317882" w:rsidRDefault="00317882">
      <w:pPr>
        <w:pStyle w:val="Ttulo"/>
        <w:ind w:firstLine="75"/>
      </w:pPr>
    </w:p>
    <w:p w14:paraId="3719E02D" w14:textId="77777777" w:rsidR="00317882" w:rsidRDefault="00000000">
      <w:pPr>
        <w:pStyle w:val="Ttulo1"/>
        <w:spacing w:before="251" w:line="242" w:lineRule="auto"/>
        <w:ind w:left="75" w:right="214"/>
        <w:jc w:val="center"/>
        <w:rPr>
          <w:sz w:val="24"/>
          <w:szCs w:val="24"/>
        </w:rPr>
      </w:pPr>
      <w:bookmarkStart w:id="0" w:name="ets4txlk34b9" w:colFirst="0" w:colLast="0"/>
      <w:bookmarkEnd w:id="0"/>
      <w:proofErr w:type="spellStart"/>
      <w:r>
        <w:rPr>
          <w:sz w:val="24"/>
          <w:szCs w:val="24"/>
          <w:vertAlign w:val="superscript"/>
        </w:rPr>
        <w:t>1</w:t>
      </w:r>
      <w:r>
        <w:rPr>
          <w:sz w:val="24"/>
          <w:szCs w:val="24"/>
        </w:rPr>
        <w:t>Aline</w:t>
      </w:r>
      <w:proofErr w:type="spellEnd"/>
      <w:r>
        <w:rPr>
          <w:sz w:val="24"/>
          <w:szCs w:val="24"/>
        </w:rPr>
        <w:t xml:space="preserve"> Alves de Andrade Silveira, </w:t>
      </w:r>
      <w:r>
        <w:rPr>
          <w:sz w:val="24"/>
          <w:szCs w:val="24"/>
          <w:vertAlign w:val="superscript"/>
        </w:rPr>
        <w:t xml:space="preserve">2 </w:t>
      </w:r>
      <w:r>
        <w:rPr>
          <w:sz w:val="24"/>
          <w:szCs w:val="24"/>
        </w:rPr>
        <w:t xml:space="preserve">Daniela Fernanda da Silva </w:t>
      </w:r>
      <w:proofErr w:type="spellStart"/>
      <w:r>
        <w:rPr>
          <w:sz w:val="24"/>
          <w:szCs w:val="24"/>
        </w:rPr>
        <w:t>Fuzzo</w:t>
      </w:r>
      <w:proofErr w:type="spellEnd"/>
      <w:r>
        <w:rPr>
          <w:sz w:val="24"/>
          <w:szCs w:val="24"/>
        </w:rPr>
        <w:t xml:space="preserve">, </w:t>
      </w:r>
      <w:r>
        <w:rPr>
          <w:sz w:val="24"/>
          <w:szCs w:val="24"/>
          <w:vertAlign w:val="superscript"/>
        </w:rPr>
        <w:t xml:space="preserve">3 </w:t>
      </w:r>
      <w:r>
        <w:rPr>
          <w:sz w:val="24"/>
          <w:szCs w:val="24"/>
        </w:rPr>
        <w:t xml:space="preserve">João Alberto Fischer Filho, </w:t>
      </w:r>
      <w:proofErr w:type="spellStart"/>
      <w:r>
        <w:rPr>
          <w:sz w:val="24"/>
          <w:szCs w:val="24"/>
          <w:vertAlign w:val="superscript"/>
        </w:rPr>
        <w:t>4</w:t>
      </w:r>
      <w:r>
        <w:rPr>
          <w:sz w:val="24"/>
          <w:szCs w:val="24"/>
        </w:rPr>
        <w:t>Rodrigo</w:t>
      </w:r>
      <w:proofErr w:type="spellEnd"/>
      <w:r>
        <w:rPr>
          <w:sz w:val="24"/>
          <w:szCs w:val="24"/>
        </w:rPr>
        <w:t xml:space="preserve"> Ney Millan.</w:t>
      </w:r>
    </w:p>
    <w:p w14:paraId="76B9EF0B" w14:textId="77777777" w:rsidR="00317882" w:rsidRDefault="00000000">
      <w:pPr>
        <w:spacing w:line="228" w:lineRule="auto"/>
        <w:ind w:left="77" w:right="209"/>
        <w:jc w:val="center"/>
        <w:rPr>
          <w:i/>
          <w:iCs/>
          <w:sz w:val="24"/>
          <w:szCs w:val="24"/>
        </w:rPr>
      </w:pPr>
      <w:proofErr w:type="spellStart"/>
      <w:r>
        <w:rPr>
          <w:i/>
          <w:iCs/>
          <w:sz w:val="24"/>
          <w:szCs w:val="24"/>
          <w:vertAlign w:val="superscript"/>
        </w:rPr>
        <w:t>1</w:t>
      </w:r>
      <w:r>
        <w:rPr>
          <w:i/>
          <w:iCs/>
          <w:sz w:val="24"/>
          <w:szCs w:val="24"/>
        </w:rPr>
        <w:t>Universidade</w:t>
      </w:r>
      <w:proofErr w:type="spellEnd"/>
      <w:r>
        <w:rPr>
          <w:i/>
          <w:iCs/>
          <w:sz w:val="24"/>
          <w:szCs w:val="24"/>
        </w:rPr>
        <w:t xml:space="preserve"> do Estado de Minas Gerais, e-mail: </w:t>
      </w:r>
      <w:proofErr w:type="spellStart"/>
      <w:r>
        <w:rPr>
          <w:i/>
          <w:iCs/>
          <w:sz w:val="24"/>
          <w:szCs w:val="24"/>
        </w:rPr>
        <w:t>alineandrademoises@gmail.com</w:t>
      </w:r>
      <w:proofErr w:type="spellEnd"/>
      <w:r>
        <w:rPr>
          <w:i/>
          <w:iCs/>
          <w:sz w:val="24"/>
          <w:szCs w:val="24"/>
        </w:rPr>
        <w:t xml:space="preserve">; </w:t>
      </w:r>
      <w:proofErr w:type="spellStart"/>
      <w:r>
        <w:rPr>
          <w:i/>
          <w:iCs/>
          <w:sz w:val="24"/>
          <w:szCs w:val="24"/>
          <w:vertAlign w:val="superscript"/>
        </w:rPr>
        <w:t>2</w:t>
      </w:r>
      <w:r>
        <w:rPr>
          <w:i/>
          <w:iCs/>
          <w:sz w:val="24"/>
          <w:szCs w:val="24"/>
        </w:rPr>
        <w:t>Universidade</w:t>
      </w:r>
      <w:proofErr w:type="spellEnd"/>
      <w:r>
        <w:rPr>
          <w:i/>
          <w:iCs/>
          <w:sz w:val="24"/>
          <w:szCs w:val="24"/>
        </w:rPr>
        <w:t xml:space="preserve"> do Estado de Minas Gerais, </w:t>
      </w:r>
      <w:proofErr w:type="spellStart"/>
      <w:r>
        <w:rPr>
          <w:i/>
          <w:iCs/>
          <w:sz w:val="24"/>
          <w:szCs w:val="24"/>
        </w:rPr>
        <w:t>e-mail:daniela.fuzzo@uemg.br</w:t>
      </w:r>
      <w:proofErr w:type="spellEnd"/>
      <w:r>
        <w:rPr>
          <w:i/>
          <w:iCs/>
          <w:sz w:val="24"/>
          <w:szCs w:val="24"/>
        </w:rPr>
        <w:t xml:space="preserve">; </w:t>
      </w:r>
      <w:proofErr w:type="spellStart"/>
      <w:r>
        <w:rPr>
          <w:i/>
          <w:iCs/>
          <w:sz w:val="24"/>
          <w:szCs w:val="24"/>
          <w:vertAlign w:val="superscript"/>
        </w:rPr>
        <w:t>3</w:t>
      </w:r>
      <w:r>
        <w:rPr>
          <w:i/>
          <w:iCs/>
          <w:sz w:val="24"/>
          <w:szCs w:val="24"/>
        </w:rPr>
        <w:t>Universidade</w:t>
      </w:r>
      <w:proofErr w:type="spellEnd"/>
      <w:r>
        <w:rPr>
          <w:i/>
          <w:iCs/>
          <w:sz w:val="24"/>
          <w:szCs w:val="24"/>
        </w:rPr>
        <w:t xml:space="preserve"> do Estado de Minas Gerais, e-mail: </w:t>
      </w:r>
      <w:proofErr w:type="spellStart"/>
      <w:r>
        <w:rPr>
          <w:i/>
          <w:iCs/>
          <w:sz w:val="24"/>
          <w:szCs w:val="24"/>
        </w:rPr>
        <w:t>joao.fischer@uemg.br</w:t>
      </w:r>
      <w:proofErr w:type="spellEnd"/>
      <w:r>
        <w:rPr>
          <w:i/>
          <w:iCs/>
          <w:sz w:val="24"/>
          <w:szCs w:val="24"/>
        </w:rPr>
        <w:t xml:space="preserve">; </w:t>
      </w:r>
      <w:r>
        <w:rPr>
          <w:i/>
          <w:iCs/>
          <w:sz w:val="24"/>
          <w:szCs w:val="24"/>
          <w:vertAlign w:val="superscript"/>
        </w:rPr>
        <w:t>4</w:t>
      </w:r>
      <w:r>
        <w:rPr>
          <w:i/>
          <w:iCs/>
          <w:sz w:val="24"/>
          <w:szCs w:val="24"/>
        </w:rPr>
        <w:t xml:space="preserve"> Universidade do Estado de Minas Gerais, e-mail; </w:t>
      </w:r>
      <w:proofErr w:type="spellStart"/>
      <w:r>
        <w:rPr>
          <w:i/>
          <w:iCs/>
          <w:sz w:val="24"/>
          <w:szCs w:val="24"/>
        </w:rPr>
        <w:t>rodrigo.millan@uemg.br</w:t>
      </w:r>
      <w:proofErr w:type="spellEnd"/>
      <w:r>
        <w:rPr>
          <w:i/>
          <w:iCs/>
          <w:sz w:val="24"/>
          <w:szCs w:val="24"/>
        </w:rPr>
        <w:t>.</w:t>
      </w:r>
    </w:p>
    <w:p w14:paraId="56146AE3" w14:textId="77777777" w:rsidR="00317882" w:rsidRDefault="00317882">
      <w:pPr>
        <w:spacing w:line="228" w:lineRule="auto"/>
        <w:ind w:left="77" w:right="209"/>
        <w:rPr>
          <w:i/>
          <w:iCs/>
          <w:sz w:val="24"/>
          <w:szCs w:val="24"/>
        </w:rPr>
      </w:pPr>
    </w:p>
    <w:p w14:paraId="685563E6" w14:textId="77777777" w:rsidR="00317882" w:rsidRDefault="00000000">
      <w:pPr>
        <w:spacing w:line="228" w:lineRule="auto"/>
        <w:ind w:left="77" w:right="209"/>
        <w:jc w:val="right"/>
        <w:rPr>
          <w:b/>
          <w:bCs/>
          <w:i/>
          <w:iCs/>
          <w:sz w:val="24"/>
          <w:szCs w:val="24"/>
        </w:rPr>
      </w:pPr>
      <w:r>
        <w:rPr>
          <w:b/>
          <w:bCs/>
          <w:i/>
          <w:iCs/>
          <w:sz w:val="24"/>
          <w:szCs w:val="24"/>
        </w:rPr>
        <w:t>Biodiversidade e Preservação</w:t>
      </w:r>
    </w:p>
    <w:p w14:paraId="2EE65BCD" w14:textId="77777777" w:rsidR="00317882" w:rsidRDefault="00000000">
      <w:pPr>
        <w:spacing w:line="228" w:lineRule="auto"/>
        <w:ind w:left="77" w:right="209"/>
        <w:jc w:val="right"/>
        <w:rPr>
          <w:b/>
          <w:bCs/>
          <w:i/>
          <w:iCs/>
          <w:sz w:val="24"/>
          <w:szCs w:val="24"/>
        </w:rPr>
      </w:pPr>
      <w:r>
        <w:rPr>
          <w:b/>
          <w:bCs/>
          <w:i/>
          <w:iCs/>
          <w:sz w:val="24"/>
          <w:szCs w:val="24"/>
        </w:rPr>
        <w:t>Resiliência dos ecossistemas naturais frente aos extremos climáticos e uso de Inteligência Artificial para preservação</w:t>
      </w:r>
    </w:p>
    <w:p w14:paraId="565C9ADE" w14:textId="77777777" w:rsidR="00317882" w:rsidRDefault="00317882">
      <w:pPr>
        <w:spacing w:line="228" w:lineRule="auto"/>
        <w:ind w:left="77" w:right="209"/>
        <w:jc w:val="right"/>
        <w:rPr>
          <w:i/>
          <w:iCs/>
          <w:sz w:val="24"/>
          <w:szCs w:val="24"/>
        </w:rPr>
      </w:pPr>
    </w:p>
    <w:p w14:paraId="39AE16DB" w14:textId="77777777" w:rsidR="00317882" w:rsidRDefault="00000000">
      <w:pPr>
        <w:spacing w:line="228" w:lineRule="auto"/>
        <w:ind w:left="77" w:right="209"/>
        <w:jc w:val="center"/>
        <w:rPr>
          <w:b/>
          <w:bCs/>
          <w:sz w:val="28"/>
          <w:szCs w:val="28"/>
        </w:rPr>
      </w:pPr>
      <w:r>
        <w:rPr>
          <w:b/>
          <w:bCs/>
          <w:sz w:val="28"/>
          <w:szCs w:val="28"/>
        </w:rPr>
        <w:t>Resumo</w:t>
      </w:r>
    </w:p>
    <w:p w14:paraId="66AFB216" w14:textId="77777777" w:rsidR="00317882" w:rsidRDefault="00317882">
      <w:pPr>
        <w:spacing w:line="228" w:lineRule="auto"/>
        <w:ind w:left="77" w:right="209"/>
        <w:jc w:val="both"/>
        <w:rPr>
          <w:sz w:val="24"/>
          <w:szCs w:val="24"/>
        </w:rPr>
      </w:pPr>
    </w:p>
    <w:p w14:paraId="7D4FF0B9" w14:textId="77777777" w:rsidR="00317882" w:rsidRDefault="00000000">
      <w:pPr>
        <w:ind w:right="209"/>
        <w:jc w:val="both"/>
        <w:rPr>
          <w:sz w:val="24"/>
          <w:szCs w:val="24"/>
        </w:rPr>
      </w:pPr>
      <w:r>
        <w:rPr>
          <w:sz w:val="24"/>
          <w:szCs w:val="24"/>
        </w:rPr>
        <w:t xml:space="preserve">O município de Frutal – MG passou por expressivas reconfigurações espaciais nas últimas décadas, impulsionadas principalmente pela expansão das atividades agropecuárias e pela consolidação do setor sucroenergético. Nesse contexto, o presente estudo teve como objetivo analisar a dinâmica da expansão urbana do município entre os anos de 1994 e 2024, utilizando ferramentas de Sistemas de Informação Geográfica (SIG). Para a elaboração dos mapas temáticos, foram utilizados dados do projeto </w:t>
      </w:r>
      <w:proofErr w:type="spellStart"/>
      <w:r>
        <w:rPr>
          <w:sz w:val="24"/>
          <w:szCs w:val="24"/>
        </w:rPr>
        <w:t>MapBiomas</w:t>
      </w:r>
      <w:proofErr w:type="spellEnd"/>
      <w:r>
        <w:rPr>
          <w:sz w:val="24"/>
          <w:szCs w:val="24"/>
        </w:rPr>
        <w:t xml:space="preserve"> (Coleção 10), permitindo a identificação e comparação da evolução da área urbanizada ao longo do período analisado. Os resultados evidenciaram um crescimento contínuo e progressivo da malha urbana, com ampliação significativa das áreas urbanizadas, especialmente a partir dos anos 2000. Tal expansão está associada às transformações socioeconômicas ocorridas no município, destacando-se a implantação das usinas sucroenergéticas, a geração de empregos, o aumento dos fluxos migratórios e a intensificação do setor imobiliário, fatores que contribuíram para o crescimento populacional e a ampliação da demanda habitacional. Conclui-se que Frutal – MG apresentou expressiva expansão urbana entre 1994 e 2024, evidenciando a influência direta das atividades econômicas sobre a organização do território e a reconfiguração do espaço urbano.</w:t>
      </w:r>
    </w:p>
    <w:p w14:paraId="7ED2D746" w14:textId="77777777" w:rsidR="00317882" w:rsidRDefault="00317882">
      <w:pPr>
        <w:ind w:right="209"/>
        <w:jc w:val="both"/>
        <w:rPr>
          <w:b/>
          <w:bCs/>
          <w:sz w:val="24"/>
          <w:szCs w:val="24"/>
        </w:rPr>
      </w:pPr>
    </w:p>
    <w:p w14:paraId="7999922F" w14:textId="77777777" w:rsidR="00317882" w:rsidRDefault="00000000">
      <w:pPr>
        <w:ind w:right="209"/>
        <w:jc w:val="both"/>
        <w:rPr>
          <w:sz w:val="24"/>
          <w:szCs w:val="24"/>
        </w:rPr>
      </w:pPr>
      <w:r>
        <w:rPr>
          <w:b/>
          <w:bCs/>
          <w:sz w:val="24"/>
          <w:szCs w:val="24"/>
        </w:rPr>
        <w:t xml:space="preserve">Palavras-chave: </w:t>
      </w:r>
      <w:r>
        <w:rPr>
          <w:sz w:val="24"/>
          <w:szCs w:val="24"/>
        </w:rPr>
        <w:t>Crescimento urbano. Sistema de Informação Geográfica. Mapas temáticos.</w:t>
      </w:r>
    </w:p>
    <w:p w14:paraId="138A1BB9" w14:textId="77777777" w:rsidR="00317882" w:rsidRDefault="00317882">
      <w:pPr>
        <w:jc w:val="both"/>
        <w:rPr>
          <w:b/>
          <w:bCs/>
          <w:sz w:val="28"/>
          <w:szCs w:val="28"/>
        </w:rPr>
      </w:pPr>
    </w:p>
    <w:p w14:paraId="34564B6B" w14:textId="77777777" w:rsidR="00317882" w:rsidRDefault="00000000">
      <w:pPr>
        <w:jc w:val="both"/>
        <w:rPr>
          <w:b/>
          <w:bCs/>
          <w:sz w:val="28"/>
          <w:szCs w:val="28"/>
        </w:rPr>
      </w:pPr>
      <w:r>
        <w:rPr>
          <w:b/>
          <w:bCs/>
          <w:sz w:val="28"/>
          <w:szCs w:val="28"/>
        </w:rPr>
        <w:t>Introdução</w:t>
      </w:r>
    </w:p>
    <w:p w14:paraId="6D981F16" w14:textId="77777777" w:rsidR="00317882" w:rsidRDefault="00000000">
      <w:pPr>
        <w:pBdr>
          <w:top w:val="nil"/>
          <w:left w:val="nil"/>
          <w:bottom w:val="nil"/>
          <w:right w:val="nil"/>
          <w:between w:val="nil"/>
        </w:pBdr>
        <w:spacing w:before="1" w:line="360" w:lineRule="auto"/>
        <w:ind w:firstLine="720"/>
        <w:jc w:val="both"/>
        <w:rPr>
          <w:color w:val="000000"/>
          <w:sz w:val="24"/>
          <w:szCs w:val="24"/>
        </w:rPr>
      </w:pPr>
      <w:r>
        <w:rPr>
          <w:color w:val="000000"/>
          <w:sz w:val="24"/>
          <w:szCs w:val="24"/>
        </w:rPr>
        <w:t xml:space="preserve">O Triângulo Mineiro/Alto Paranaíba destaca-se como a principal região produtora de cana-de-açúcar de Minas Gerais, desempenhando papel estratégico no setor sucroenergético. Essa centralidade é evidenciada pela concentração de 20 das 33 unidades sucroenergéticas em operação no estado, reforçando sua expressiva participação na produção e no processamento da </w:t>
      </w:r>
      <w:r>
        <w:rPr>
          <w:color w:val="000000"/>
          <w:sz w:val="24"/>
          <w:szCs w:val="24"/>
        </w:rPr>
        <w:lastRenderedPageBreak/>
        <w:t>cana-de-açúcar (</w:t>
      </w:r>
      <w:proofErr w:type="spellStart"/>
      <w:r>
        <w:rPr>
          <w:color w:val="000000"/>
          <w:sz w:val="24"/>
          <w:szCs w:val="24"/>
        </w:rPr>
        <w:t>SIAMIG</w:t>
      </w:r>
      <w:proofErr w:type="spellEnd"/>
      <w:r>
        <w:rPr>
          <w:color w:val="000000"/>
          <w:sz w:val="24"/>
          <w:szCs w:val="24"/>
        </w:rPr>
        <w:t>, 2026).</w:t>
      </w:r>
    </w:p>
    <w:p w14:paraId="7FED7950" w14:textId="77777777" w:rsidR="00317882" w:rsidRDefault="00000000">
      <w:pPr>
        <w:pBdr>
          <w:top w:val="nil"/>
          <w:left w:val="nil"/>
          <w:bottom w:val="nil"/>
          <w:right w:val="nil"/>
          <w:between w:val="nil"/>
        </w:pBdr>
        <w:spacing w:before="1" w:line="360" w:lineRule="auto"/>
        <w:ind w:firstLine="720"/>
        <w:jc w:val="both"/>
        <w:rPr>
          <w:color w:val="000000"/>
          <w:sz w:val="24"/>
          <w:szCs w:val="24"/>
        </w:rPr>
      </w:pPr>
      <w:r>
        <w:rPr>
          <w:color w:val="000000"/>
          <w:sz w:val="24"/>
          <w:szCs w:val="24"/>
        </w:rPr>
        <w:t>A instalação dessas unidades promove alterações diretas no espaço físico, transformando dinâmicas sociais e a configuração territorial. Nesse contexto, o setor sucroenergético desencadeou importantes transformações socioeconômicas em Frutal – MG, especialmente pela geração de empregos diretos e indiretos e pela dinamização do setor terciário.</w:t>
      </w:r>
    </w:p>
    <w:p w14:paraId="5453E8AC" w14:textId="77777777" w:rsidR="00317882" w:rsidRDefault="00000000">
      <w:pPr>
        <w:pBdr>
          <w:top w:val="nil"/>
          <w:left w:val="nil"/>
          <w:bottom w:val="nil"/>
          <w:right w:val="nil"/>
          <w:between w:val="nil"/>
        </w:pBdr>
        <w:spacing w:before="1" w:line="360" w:lineRule="auto"/>
        <w:ind w:firstLine="720"/>
        <w:jc w:val="both"/>
        <w:rPr>
          <w:color w:val="000000"/>
          <w:sz w:val="24"/>
          <w:szCs w:val="24"/>
        </w:rPr>
      </w:pPr>
      <w:r>
        <w:rPr>
          <w:color w:val="000000"/>
          <w:sz w:val="24"/>
          <w:szCs w:val="24"/>
        </w:rPr>
        <w:t>Paralelamente, verificou-se a expansão do setor imobiliário, com a implantação de bairros populares e condomínios de alto padrão, promovendo alterações na paisagem e na organização territorial. Associado ao aumento da oferta de empregos, esse processo favoreceu o crescimento populacional e intensificou a demanda por moradias, impulsionando a expansão urbana do município (Tomaz; Ferreira; Borges, 2021).</w:t>
      </w:r>
    </w:p>
    <w:p w14:paraId="3211FD01" w14:textId="77777777" w:rsidR="00317882" w:rsidRDefault="00000000">
      <w:pPr>
        <w:pBdr>
          <w:top w:val="nil"/>
          <w:left w:val="nil"/>
          <w:bottom w:val="nil"/>
          <w:right w:val="nil"/>
          <w:between w:val="nil"/>
        </w:pBdr>
        <w:spacing w:before="1" w:line="360" w:lineRule="auto"/>
        <w:ind w:firstLine="720"/>
        <w:jc w:val="both"/>
        <w:rPr>
          <w:color w:val="000000"/>
          <w:sz w:val="24"/>
          <w:szCs w:val="24"/>
        </w:rPr>
      </w:pPr>
      <w:r>
        <w:rPr>
          <w:color w:val="000000"/>
          <w:sz w:val="24"/>
          <w:szCs w:val="24"/>
        </w:rPr>
        <w:t>O avanço tecnológico ampliou a capacidade de monitoramento das transformações ambientais por meio do Sensoriamento Remoto (</w:t>
      </w:r>
      <w:proofErr w:type="spellStart"/>
      <w:r>
        <w:rPr>
          <w:color w:val="000000"/>
          <w:sz w:val="24"/>
          <w:szCs w:val="24"/>
        </w:rPr>
        <w:t>SR</w:t>
      </w:r>
      <w:proofErr w:type="spellEnd"/>
      <w:r>
        <w:rPr>
          <w:color w:val="000000"/>
          <w:sz w:val="24"/>
          <w:szCs w:val="24"/>
        </w:rPr>
        <w:t xml:space="preserve">), técnica que possibilita a obtenção e interpretação de informações da superfície terrestre a partir de sensores embarcados em satélites (Lu </w:t>
      </w:r>
      <w:r>
        <w:rPr>
          <w:i/>
          <w:iCs/>
          <w:color w:val="000000"/>
          <w:sz w:val="24"/>
          <w:szCs w:val="24"/>
        </w:rPr>
        <w:t>et al</w:t>
      </w:r>
      <w:r>
        <w:rPr>
          <w:color w:val="000000"/>
          <w:sz w:val="24"/>
          <w:szCs w:val="24"/>
        </w:rPr>
        <w:t xml:space="preserve">., 2025). Integrado aos Sistemas de Informação Geográfica (SIG), o </w:t>
      </w:r>
      <w:proofErr w:type="spellStart"/>
      <w:r>
        <w:rPr>
          <w:color w:val="000000"/>
          <w:sz w:val="24"/>
          <w:szCs w:val="24"/>
        </w:rPr>
        <w:t>SR</w:t>
      </w:r>
      <w:proofErr w:type="spellEnd"/>
      <w:r>
        <w:rPr>
          <w:color w:val="000000"/>
          <w:sz w:val="24"/>
          <w:szCs w:val="24"/>
        </w:rPr>
        <w:t xml:space="preserve"> fornece dados geoespaciais precisos para análises territoriais e ambientais.</w:t>
      </w:r>
    </w:p>
    <w:p w14:paraId="7723E621" w14:textId="77777777" w:rsidR="00317882" w:rsidRDefault="00000000">
      <w:pPr>
        <w:pBdr>
          <w:top w:val="nil"/>
          <w:left w:val="nil"/>
          <w:bottom w:val="nil"/>
          <w:right w:val="nil"/>
          <w:between w:val="nil"/>
        </w:pBdr>
        <w:spacing w:before="1" w:line="360" w:lineRule="auto"/>
        <w:ind w:firstLine="720"/>
        <w:jc w:val="both"/>
        <w:rPr>
          <w:color w:val="000000"/>
          <w:sz w:val="24"/>
          <w:szCs w:val="24"/>
        </w:rPr>
      </w:pPr>
      <w:r>
        <w:rPr>
          <w:color w:val="000000"/>
          <w:sz w:val="24"/>
          <w:szCs w:val="24"/>
        </w:rPr>
        <w:t>Diante desse contexto, a presente pesquisa tem como objetivo analisar, por meio de ferramentas de Sistemas de Informação Geográfica (SIG), a dinâmica da expansão urbana no município de Frutal – MG no período de 1994 a 2024.</w:t>
      </w:r>
    </w:p>
    <w:p w14:paraId="374066DE" w14:textId="77777777" w:rsidR="00317882" w:rsidRDefault="00317882">
      <w:pPr>
        <w:pBdr>
          <w:top w:val="nil"/>
          <w:left w:val="nil"/>
          <w:bottom w:val="nil"/>
          <w:right w:val="nil"/>
          <w:between w:val="nil"/>
        </w:pBdr>
        <w:spacing w:before="1" w:line="360" w:lineRule="auto"/>
        <w:ind w:firstLine="720"/>
        <w:jc w:val="both"/>
        <w:rPr>
          <w:color w:val="000000"/>
          <w:sz w:val="24"/>
          <w:szCs w:val="24"/>
        </w:rPr>
      </w:pPr>
    </w:p>
    <w:p w14:paraId="3CB71543" w14:textId="77777777" w:rsidR="00317882" w:rsidRDefault="00000000">
      <w:pPr>
        <w:pBdr>
          <w:top w:val="nil"/>
          <w:left w:val="nil"/>
          <w:bottom w:val="nil"/>
          <w:right w:val="nil"/>
          <w:between w:val="nil"/>
        </w:pBdr>
        <w:spacing w:before="1" w:line="360" w:lineRule="auto"/>
        <w:jc w:val="both"/>
        <w:rPr>
          <w:b/>
          <w:bCs/>
          <w:color w:val="000000"/>
          <w:sz w:val="28"/>
          <w:szCs w:val="28"/>
        </w:rPr>
      </w:pPr>
      <w:r>
        <w:rPr>
          <w:b/>
          <w:bCs/>
          <w:color w:val="000000"/>
          <w:sz w:val="28"/>
          <w:szCs w:val="28"/>
        </w:rPr>
        <w:t>Metodologia</w:t>
      </w:r>
    </w:p>
    <w:p w14:paraId="56B7712C" w14:textId="77777777" w:rsidR="00317882" w:rsidRDefault="00000000">
      <w:pPr>
        <w:pBdr>
          <w:top w:val="nil"/>
          <w:left w:val="nil"/>
          <w:bottom w:val="nil"/>
          <w:right w:val="nil"/>
          <w:between w:val="nil"/>
        </w:pBdr>
        <w:spacing w:line="360" w:lineRule="auto"/>
        <w:ind w:firstLine="720"/>
        <w:jc w:val="both"/>
        <w:rPr>
          <w:color w:val="000000"/>
          <w:sz w:val="24"/>
          <w:szCs w:val="24"/>
        </w:rPr>
      </w:pPr>
      <w:r>
        <w:rPr>
          <w:color w:val="000000"/>
          <w:sz w:val="24"/>
          <w:szCs w:val="24"/>
        </w:rPr>
        <w:t>O presente estudo foi conduzido no município de Frutal, Minas Gerais, compreendida entre as coordenadas geográficas 19°46’52” e 20°01’28” de latitude Sul, e 48°49’29” e 49°08’53” de longitude Oeste (Figura 1). O município localiza-se na porção noroeste do estado de Minas Gerais e possui extensão territorial de aproximadamente 2.426 km². De acordo com dados do IBGE (2022), sua população é de 58.588 habitantes, resultando em uma densidade demográfica de 24,14 habitantes por km². Frutal – MG apresentou expressivo crescimento econômico e social nas últimas décadas. Entre 2010 e 2023, o PIB a preços correntes passou de aproximadamente R$ 750 milhões para cerca de R$ 4 bilhões, evidenciando o fortalecimento da economia local. No mesmo período, o PIB per capita aumentou de cerca de R$ 15 mil para R$ 68,7 mil. O IDHM também evoluiu, passando de 0,515 (1991) para 0,730 (2010</w:t>
      </w:r>
      <w:proofErr w:type="gramStart"/>
      <w:r>
        <w:rPr>
          <w:color w:val="000000"/>
          <w:sz w:val="24"/>
          <w:szCs w:val="24"/>
        </w:rPr>
        <w:t>),</w:t>
      </w:r>
      <w:r>
        <w:rPr>
          <w:color w:val="000000"/>
        </w:rPr>
        <w:t xml:space="preserve"> </w:t>
      </w:r>
      <w:r>
        <w:rPr>
          <w:color w:val="000000"/>
          <w:sz w:val="24"/>
          <w:szCs w:val="24"/>
        </w:rPr>
        <w:t xml:space="preserve"> a</w:t>
      </w:r>
      <w:proofErr w:type="gramEnd"/>
      <w:r>
        <w:rPr>
          <w:color w:val="000000"/>
          <w:sz w:val="24"/>
          <w:szCs w:val="24"/>
        </w:rPr>
        <w:t xml:space="preserve"> mortalidade infantil, que em 2006 era de aproximadamente 22 óbitos por mil nascidos vivos, apresentou tendência de queda ao longo da série histórica, com oscilações pontuais, alcançando </w:t>
      </w:r>
      <w:r>
        <w:rPr>
          <w:color w:val="000000"/>
          <w:sz w:val="24"/>
          <w:szCs w:val="24"/>
        </w:rPr>
        <w:lastRenderedPageBreak/>
        <w:t>10,25 em 2023. Fatores que indicam que o município passou por transformações estruturais e avanços significativos em suas condições socioeconômicas.</w:t>
      </w:r>
    </w:p>
    <w:p w14:paraId="567D89E9" w14:textId="77777777" w:rsidR="00317882" w:rsidRDefault="00317882">
      <w:pPr>
        <w:pBdr>
          <w:top w:val="nil"/>
          <w:left w:val="nil"/>
          <w:bottom w:val="nil"/>
          <w:right w:val="nil"/>
          <w:between w:val="nil"/>
        </w:pBdr>
        <w:spacing w:line="360" w:lineRule="auto"/>
        <w:ind w:firstLine="720"/>
        <w:jc w:val="both"/>
        <w:rPr>
          <w:color w:val="000000"/>
          <w:sz w:val="24"/>
          <w:szCs w:val="24"/>
        </w:rPr>
      </w:pPr>
    </w:p>
    <w:p w14:paraId="2920A330" w14:textId="77777777" w:rsidR="00317882" w:rsidRDefault="00000000">
      <w:pPr>
        <w:pBdr>
          <w:top w:val="nil"/>
          <w:left w:val="nil"/>
          <w:bottom w:val="nil"/>
          <w:right w:val="nil"/>
          <w:between w:val="nil"/>
        </w:pBdr>
        <w:jc w:val="center"/>
        <w:rPr>
          <w:b/>
          <w:bCs/>
          <w:color w:val="000000"/>
          <w:sz w:val="20"/>
          <w:szCs w:val="20"/>
        </w:rPr>
      </w:pPr>
      <w:r>
        <w:rPr>
          <w:b/>
          <w:bCs/>
          <w:color w:val="000000"/>
          <w:sz w:val="20"/>
          <w:szCs w:val="20"/>
        </w:rPr>
        <w:t>Figura 1 – Localização do município de Frutal – MG</w:t>
      </w:r>
    </w:p>
    <w:p w14:paraId="64211F5C" w14:textId="77777777" w:rsidR="00317882" w:rsidRDefault="00000000">
      <w:pPr>
        <w:pBdr>
          <w:top w:val="nil"/>
          <w:left w:val="nil"/>
          <w:bottom w:val="nil"/>
          <w:right w:val="nil"/>
          <w:between w:val="nil"/>
        </w:pBdr>
        <w:spacing w:before="1" w:line="360" w:lineRule="auto"/>
        <w:jc w:val="center"/>
        <w:rPr>
          <w:color w:val="000000"/>
          <w:sz w:val="24"/>
          <w:szCs w:val="24"/>
        </w:rPr>
      </w:pPr>
      <w:r>
        <w:rPr>
          <w:noProof/>
          <w:color w:val="000000"/>
          <w:sz w:val="20"/>
          <w:szCs w:val="20"/>
        </w:rPr>
        <w:drawing>
          <wp:inline distT="0" distB="0" distL="0" distR="0" wp14:anchorId="4D88D2F5" wp14:editId="1511DB12">
            <wp:extent cx="5752465" cy="4582795"/>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a:stretch>
                      <a:fillRect/>
                    </a:stretch>
                  </pic:blipFill>
                  <pic:spPr>
                    <a:xfrm>
                      <a:off x="0" y="0"/>
                      <a:ext cx="5752465" cy="4582795"/>
                    </a:xfrm>
                    <a:prstGeom prst="rect">
                      <a:avLst/>
                    </a:prstGeom>
                    <a:ln/>
                  </pic:spPr>
                </pic:pic>
              </a:graphicData>
            </a:graphic>
          </wp:inline>
        </w:drawing>
      </w:r>
      <w:r>
        <w:rPr>
          <w:color w:val="000000"/>
          <w:sz w:val="20"/>
          <w:szCs w:val="20"/>
        </w:rPr>
        <w:t>Fonte: IBGE (2025). Org: Silveira. A. A. A</w:t>
      </w:r>
    </w:p>
    <w:p w14:paraId="65BCEBBB" w14:textId="77777777" w:rsidR="00317882" w:rsidRDefault="00000000">
      <w:pPr>
        <w:pBdr>
          <w:top w:val="nil"/>
          <w:left w:val="nil"/>
          <w:bottom w:val="nil"/>
          <w:right w:val="nil"/>
          <w:between w:val="nil"/>
        </w:pBdr>
        <w:spacing w:line="360" w:lineRule="auto"/>
        <w:ind w:firstLine="720"/>
        <w:jc w:val="both"/>
        <w:rPr>
          <w:color w:val="000000"/>
          <w:sz w:val="24"/>
          <w:szCs w:val="24"/>
        </w:rPr>
      </w:pPr>
      <w:r>
        <w:rPr>
          <w:color w:val="000000"/>
          <w:sz w:val="24"/>
          <w:szCs w:val="24"/>
        </w:rPr>
        <w:t xml:space="preserve">Para a elaboração dos mapas temáticos que caracterizam a expansão urbana do município nos anos de 1994, 2004, 2014 e 2024, utilizou-se a base de dados do </w:t>
      </w:r>
      <w:proofErr w:type="spellStart"/>
      <w:r>
        <w:rPr>
          <w:color w:val="000000"/>
          <w:sz w:val="24"/>
          <w:szCs w:val="24"/>
        </w:rPr>
        <w:t>MapBiomas</w:t>
      </w:r>
      <w:proofErr w:type="spellEnd"/>
      <w:r>
        <w:rPr>
          <w:color w:val="000000"/>
          <w:sz w:val="24"/>
          <w:szCs w:val="24"/>
        </w:rPr>
        <w:t>, Coleção 10, (https://</w:t>
      </w:r>
      <w:proofErr w:type="spellStart"/>
      <w:r>
        <w:rPr>
          <w:color w:val="000000"/>
          <w:sz w:val="24"/>
          <w:szCs w:val="24"/>
        </w:rPr>
        <w:t>brasil.mapbiomas.org</w:t>
      </w:r>
      <w:proofErr w:type="spellEnd"/>
      <w:r>
        <w:rPr>
          <w:color w:val="000000"/>
          <w:sz w:val="24"/>
          <w:szCs w:val="24"/>
        </w:rPr>
        <w:t xml:space="preserve">/downloads/). O </w:t>
      </w:r>
      <w:proofErr w:type="spellStart"/>
      <w:r>
        <w:rPr>
          <w:color w:val="000000"/>
          <w:sz w:val="24"/>
          <w:szCs w:val="24"/>
        </w:rPr>
        <w:t>MapBiomas</w:t>
      </w:r>
      <w:proofErr w:type="spellEnd"/>
      <w:r>
        <w:rPr>
          <w:color w:val="000000"/>
          <w:sz w:val="24"/>
          <w:szCs w:val="24"/>
        </w:rPr>
        <w:t xml:space="preserve"> consiste em uma iniciativa colaborativa entre organizações não governamentais, instituições de ensino e pesquisa e empresas de tecnologia, voltada ao mapeamento do uso e cobertura da terra no Brasil. A plataforma disponibiliza séries temporais anuais em escala nacional, geradas a partir do processamento de imagens orbitais da série </w:t>
      </w:r>
      <w:proofErr w:type="spellStart"/>
      <w:r>
        <w:rPr>
          <w:color w:val="000000"/>
          <w:sz w:val="24"/>
          <w:szCs w:val="24"/>
        </w:rPr>
        <w:t>Landsat</w:t>
      </w:r>
      <w:proofErr w:type="spellEnd"/>
      <w:r>
        <w:rPr>
          <w:color w:val="000000"/>
          <w:sz w:val="24"/>
          <w:szCs w:val="24"/>
        </w:rPr>
        <w:t xml:space="preserve"> na plataforma de computação em nuvem Google Earth </w:t>
      </w:r>
      <w:proofErr w:type="spellStart"/>
      <w:r>
        <w:rPr>
          <w:color w:val="000000"/>
          <w:sz w:val="24"/>
          <w:szCs w:val="24"/>
        </w:rPr>
        <w:t>Engine</w:t>
      </w:r>
      <w:proofErr w:type="spellEnd"/>
      <w:r>
        <w:rPr>
          <w:color w:val="000000"/>
          <w:sz w:val="24"/>
          <w:szCs w:val="24"/>
        </w:rPr>
        <w:t xml:space="preserve"> (Cassol </w:t>
      </w:r>
      <w:r>
        <w:rPr>
          <w:i/>
          <w:iCs/>
          <w:color w:val="000000"/>
          <w:sz w:val="24"/>
          <w:szCs w:val="24"/>
        </w:rPr>
        <w:t>et al.</w:t>
      </w:r>
      <w:r>
        <w:rPr>
          <w:color w:val="000000"/>
          <w:sz w:val="24"/>
          <w:szCs w:val="24"/>
        </w:rPr>
        <w:t>, 2020).</w:t>
      </w:r>
    </w:p>
    <w:p w14:paraId="1BAC4093" w14:textId="77777777" w:rsidR="00317882" w:rsidRDefault="00000000">
      <w:pPr>
        <w:pBdr>
          <w:top w:val="nil"/>
          <w:left w:val="nil"/>
          <w:bottom w:val="nil"/>
          <w:right w:val="nil"/>
          <w:between w:val="nil"/>
        </w:pBdr>
        <w:spacing w:line="360" w:lineRule="auto"/>
        <w:ind w:firstLine="720"/>
        <w:jc w:val="both"/>
        <w:rPr>
          <w:color w:val="000000"/>
          <w:sz w:val="24"/>
          <w:szCs w:val="24"/>
        </w:rPr>
      </w:pPr>
      <w:r>
        <w:rPr>
          <w:color w:val="000000"/>
          <w:sz w:val="24"/>
          <w:szCs w:val="24"/>
        </w:rPr>
        <w:t xml:space="preserve">Adicionalmente, foram utilizados dados vetoriais da malha municipal do Estado de Minas Gerais, disponibilizados pelo Instituto Brasileiro de Geografia e Estatística (IBGE, 2025), em formato </w:t>
      </w:r>
      <w:proofErr w:type="spellStart"/>
      <w:r>
        <w:rPr>
          <w:color w:val="000000"/>
          <w:sz w:val="24"/>
          <w:szCs w:val="24"/>
        </w:rPr>
        <w:t>Shapefile</w:t>
      </w:r>
      <w:proofErr w:type="spellEnd"/>
      <w:r>
        <w:rPr>
          <w:color w:val="000000"/>
          <w:sz w:val="24"/>
          <w:szCs w:val="24"/>
        </w:rPr>
        <w:t xml:space="preserve"> (</w:t>
      </w:r>
      <w:proofErr w:type="spellStart"/>
      <w:r>
        <w:rPr>
          <w:color w:val="000000"/>
          <w:sz w:val="24"/>
          <w:szCs w:val="24"/>
        </w:rPr>
        <w:t>SHP</w:t>
      </w:r>
      <w:proofErr w:type="spellEnd"/>
      <w:r>
        <w:rPr>
          <w:color w:val="000000"/>
          <w:sz w:val="24"/>
          <w:szCs w:val="24"/>
        </w:rPr>
        <w:t xml:space="preserve">). No ambiente SIG </w:t>
      </w:r>
      <w:proofErr w:type="spellStart"/>
      <w:r>
        <w:rPr>
          <w:color w:val="000000"/>
          <w:sz w:val="24"/>
          <w:szCs w:val="24"/>
        </w:rPr>
        <w:t>QGIS</w:t>
      </w:r>
      <w:proofErr w:type="spellEnd"/>
      <w:r>
        <w:rPr>
          <w:color w:val="000000"/>
          <w:sz w:val="24"/>
          <w:szCs w:val="24"/>
        </w:rPr>
        <w:t xml:space="preserve">, realizou-se o recorte espacial </w:t>
      </w:r>
      <w:r>
        <w:rPr>
          <w:color w:val="000000"/>
          <w:sz w:val="24"/>
          <w:szCs w:val="24"/>
        </w:rPr>
        <w:lastRenderedPageBreak/>
        <w:t xml:space="preserve">(clip) correspondente ao município de Frutal (MG), gerando um arquivo vetorial que serviu como base cartográfica para a elaboração dos mapas temáticos da expansão urbana e do mapa de localização da área de estudo. A produção dos mapas temáticos envolveu a delimitação da área de estudo a partir de imagens disponibilizadas pelo Google Earth, bem como o processamento da classificação do uso e cobertura da terra no ambiente SIG </w:t>
      </w:r>
      <w:proofErr w:type="spellStart"/>
      <w:r>
        <w:rPr>
          <w:color w:val="000000"/>
          <w:sz w:val="24"/>
          <w:szCs w:val="24"/>
        </w:rPr>
        <w:t>QGIS</w:t>
      </w:r>
      <w:proofErr w:type="spellEnd"/>
      <w:r>
        <w:rPr>
          <w:color w:val="000000"/>
          <w:sz w:val="24"/>
          <w:szCs w:val="24"/>
        </w:rPr>
        <w:t xml:space="preserve">, versão 4.33. </w:t>
      </w:r>
    </w:p>
    <w:p w14:paraId="3A360080" w14:textId="77777777" w:rsidR="00317882" w:rsidRDefault="00000000">
      <w:pPr>
        <w:pBdr>
          <w:top w:val="nil"/>
          <w:left w:val="nil"/>
          <w:bottom w:val="nil"/>
          <w:right w:val="nil"/>
          <w:between w:val="nil"/>
        </w:pBdr>
        <w:spacing w:line="360" w:lineRule="auto"/>
        <w:ind w:firstLine="720"/>
        <w:jc w:val="both"/>
        <w:rPr>
          <w:color w:val="000000"/>
          <w:sz w:val="24"/>
          <w:szCs w:val="24"/>
        </w:rPr>
      </w:pPr>
      <w:r>
        <w:rPr>
          <w:color w:val="000000"/>
          <w:sz w:val="24"/>
          <w:szCs w:val="24"/>
        </w:rPr>
        <w:t>A classe selecionada para o mapeamento foi a “Área Urbana’’. A interpretação visual das imagens auxiliou na validação dos dados, permitindo identificar, nos mapas referentes aos anos de 1994, 2004, 2014 e 2024, a dinâmica do crescimento urbano do município ao longo do período analisado.</w:t>
      </w:r>
    </w:p>
    <w:p w14:paraId="44BDF1B6" w14:textId="77777777" w:rsidR="00317882" w:rsidRDefault="00317882">
      <w:pPr>
        <w:pBdr>
          <w:top w:val="nil"/>
          <w:left w:val="nil"/>
          <w:bottom w:val="nil"/>
          <w:right w:val="nil"/>
          <w:between w:val="nil"/>
        </w:pBdr>
        <w:spacing w:line="360" w:lineRule="auto"/>
        <w:ind w:firstLine="720"/>
        <w:jc w:val="both"/>
        <w:rPr>
          <w:color w:val="000000"/>
          <w:sz w:val="24"/>
          <w:szCs w:val="24"/>
        </w:rPr>
      </w:pPr>
    </w:p>
    <w:p w14:paraId="45EEAA55" w14:textId="77777777" w:rsidR="00317882" w:rsidRDefault="00000000">
      <w:pPr>
        <w:pBdr>
          <w:top w:val="nil"/>
          <w:left w:val="nil"/>
          <w:bottom w:val="nil"/>
          <w:right w:val="nil"/>
          <w:between w:val="nil"/>
        </w:pBdr>
        <w:spacing w:before="1" w:line="360" w:lineRule="auto"/>
        <w:jc w:val="both"/>
        <w:rPr>
          <w:b/>
          <w:bCs/>
          <w:color w:val="000000"/>
          <w:sz w:val="28"/>
          <w:szCs w:val="28"/>
        </w:rPr>
      </w:pPr>
      <w:r>
        <w:rPr>
          <w:b/>
          <w:bCs/>
          <w:color w:val="000000"/>
          <w:sz w:val="28"/>
          <w:szCs w:val="28"/>
        </w:rPr>
        <w:t>Resultados e Discussão</w:t>
      </w:r>
    </w:p>
    <w:p w14:paraId="70096933" w14:textId="77777777" w:rsidR="00317882" w:rsidRDefault="00000000">
      <w:pPr>
        <w:pBdr>
          <w:top w:val="nil"/>
          <w:left w:val="nil"/>
          <w:bottom w:val="nil"/>
          <w:right w:val="nil"/>
          <w:between w:val="nil"/>
        </w:pBdr>
        <w:spacing w:before="1" w:line="360" w:lineRule="auto"/>
        <w:ind w:firstLine="720"/>
        <w:jc w:val="both"/>
        <w:rPr>
          <w:color w:val="000000"/>
          <w:sz w:val="24"/>
          <w:szCs w:val="24"/>
        </w:rPr>
      </w:pPr>
      <w:r>
        <w:rPr>
          <w:color w:val="000000"/>
          <w:sz w:val="24"/>
          <w:szCs w:val="24"/>
        </w:rPr>
        <w:t xml:space="preserve">O município de Frutal (MG) abriga atualmente duas usinas sucroenergéticas em seu território. A inserção de capital estrangeiro na dinâmica produtiva local consolidou-se a partir de 2007, quando o grupo Bunge, de origem holandesa e com sede administrativa nos Estados Unidos, passou a atuar no setor sucroenergético regional e municipal (Campos; </w:t>
      </w:r>
      <w:proofErr w:type="spellStart"/>
      <w:r>
        <w:rPr>
          <w:color w:val="000000"/>
          <w:sz w:val="24"/>
          <w:szCs w:val="24"/>
        </w:rPr>
        <w:t>Cleps</w:t>
      </w:r>
      <w:proofErr w:type="spellEnd"/>
      <w:r>
        <w:rPr>
          <w:color w:val="000000"/>
          <w:sz w:val="24"/>
          <w:szCs w:val="24"/>
        </w:rPr>
        <w:t xml:space="preserve"> Júnior, 2020). Nesse contexto, destaca-se ainda a implantação da Usina Cerradão, cujas operações tiveram início em 2009, viabilizadas por aportes de capital nacional do Grupo Queiroz de Queiroz, sediado em Frutal, em associação com investidores paulistas da família Andrade, organizados sob a denominação Grupo Cerradão (Grupo Queiroz de Queiroz, 2022).</w:t>
      </w:r>
    </w:p>
    <w:p w14:paraId="3415C011" w14:textId="77777777" w:rsidR="00317882" w:rsidRDefault="00000000">
      <w:pPr>
        <w:pBdr>
          <w:top w:val="nil"/>
          <w:left w:val="nil"/>
          <w:bottom w:val="nil"/>
          <w:right w:val="nil"/>
          <w:between w:val="nil"/>
        </w:pBdr>
        <w:spacing w:before="1" w:line="360" w:lineRule="auto"/>
        <w:ind w:firstLine="720"/>
        <w:jc w:val="both"/>
        <w:rPr>
          <w:color w:val="000000"/>
          <w:sz w:val="24"/>
          <w:szCs w:val="24"/>
        </w:rPr>
      </w:pPr>
      <w:r>
        <w:rPr>
          <w:color w:val="000000"/>
          <w:sz w:val="24"/>
          <w:szCs w:val="24"/>
        </w:rPr>
        <w:t>A análise temporal dos mapas de expansão urbana de Frutal – MG (1994, 2004, 2014 e 2024) evidencia um contínuo processo de crescimento da malha urbana (Figura 2). Em 1994, a cidade apresentava ocupação concentrada no núcleo central e baixa dispersão espacial. Já em 2004, observa-se o início da expansão periférica, marcado pelo surgimento de novos loteamentos e pela ampliação da área urbanizada. No ano de 2014, verifica-se a intensificação desse processo, com maior incorporação de novas áreas ao tecido urbano, associada ao crescimento populacional e à expansão das atividades econômicas locais. Considerando o período de implantação do setor sucroalcooleiro no município, infere-se que esse momento correspondeu ao auge de sua expansão econômica. Segundo Villaça (2011), a dinâmica das atividades econômicas interfere diretamente na configuração do espaço geográfico, promovendo mudanças significativas nos padrões sociais e na organização territorial. Em 2024, constata-se a consolidação de um padrão de expansão mais expressivo, caracterizado pela ampliação da área urbanizada e pela ocupação das zonas periféricas.</w:t>
      </w:r>
    </w:p>
    <w:p w14:paraId="41760D70" w14:textId="77777777" w:rsidR="00317882" w:rsidRDefault="00317882">
      <w:pPr>
        <w:pBdr>
          <w:top w:val="nil"/>
          <w:left w:val="nil"/>
          <w:bottom w:val="nil"/>
          <w:right w:val="nil"/>
          <w:between w:val="nil"/>
        </w:pBdr>
        <w:spacing w:before="1" w:line="360" w:lineRule="auto"/>
        <w:ind w:firstLine="720"/>
        <w:jc w:val="both"/>
        <w:rPr>
          <w:color w:val="000000"/>
          <w:sz w:val="24"/>
          <w:szCs w:val="24"/>
        </w:rPr>
      </w:pPr>
    </w:p>
    <w:p w14:paraId="68EE638B" w14:textId="77777777" w:rsidR="00317882" w:rsidRDefault="00317882">
      <w:pPr>
        <w:pBdr>
          <w:top w:val="nil"/>
          <w:left w:val="nil"/>
          <w:bottom w:val="nil"/>
          <w:right w:val="nil"/>
          <w:between w:val="nil"/>
        </w:pBdr>
        <w:spacing w:before="1" w:line="360" w:lineRule="auto"/>
        <w:ind w:firstLine="720"/>
        <w:jc w:val="both"/>
        <w:rPr>
          <w:color w:val="000000"/>
          <w:sz w:val="24"/>
          <w:szCs w:val="24"/>
        </w:rPr>
      </w:pPr>
    </w:p>
    <w:p w14:paraId="1C6DADE1" w14:textId="6EC936B1" w:rsidR="00317882" w:rsidRDefault="00634C66">
      <w:pPr>
        <w:pBdr>
          <w:top w:val="nil"/>
          <w:left w:val="nil"/>
          <w:bottom w:val="nil"/>
          <w:right w:val="nil"/>
          <w:between w:val="nil"/>
        </w:pBdr>
        <w:spacing w:before="1"/>
        <w:ind w:firstLine="720"/>
        <w:jc w:val="center"/>
        <w:rPr>
          <w:b/>
          <w:bCs/>
          <w:color w:val="000000"/>
          <w:sz w:val="20"/>
          <w:szCs w:val="20"/>
        </w:rPr>
      </w:pPr>
      <w:r>
        <w:rPr>
          <w:noProof/>
        </w:rPr>
        <w:drawing>
          <wp:anchor distT="0" distB="0" distL="114300" distR="114300" simplePos="0" relativeHeight="251659264" behindDoc="0" locked="0" layoutInCell="1" hidden="0" allowOverlap="1" wp14:anchorId="690E01C0" wp14:editId="38442866">
            <wp:simplePos x="0" y="0"/>
            <wp:positionH relativeFrom="margin">
              <wp:align>right</wp:align>
            </wp:positionH>
            <wp:positionV relativeFrom="paragraph">
              <wp:posOffset>328295</wp:posOffset>
            </wp:positionV>
            <wp:extent cx="5761355" cy="4074160"/>
            <wp:effectExtent l="0" t="0" r="0" b="254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761355" cy="4074160"/>
                    </a:xfrm>
                    <a:prstGeom prst="rect">
                      <a:avLst/>
                    </a:prstGeom>
                    <a:ln/>
                  </pic:spPr>
                </pic:pic>
              </a:graphicData>
            </a:graphic>
          </wp:anchor>
        </w:drawing>
      </w:r>
      <w:r w:rsidR="00000000">
        <w:rPr>
          <w:b/>
          <w:bCs/>
          <w:color w:val="000000"/>
          <w:sz w:val="20"/>
          <w:szCs w:val="20"/>
        </w:rPr>
        <w:t>Figura 2 – Evolução espacial da área urbana do município de Frutal - MG (1994, 2004, 2014 e 2024)</w:t>
      </w:r>
    </w:p>
    <w:p w14:paraId="36B4572C" w14:textId="77777777" w:rsidR="00317882" w:rsidRDefault="00000000">
      <w:pPr>
        <w:pBdr>
          <w:top w:val="nil"/>
          <w:left w:val="nil"/>
          <w:bottom w:val="nil"/>
          <w:right w:val="nil"/>
          <w:between w:val="nil"/>
        </w:pBdr>
        <w:ind w:firstLine="720"/>
        <w:jc w:val="center"/>
        <w:rPr>
          <w:color w:val="000000"/>
          <w:sz w:val="20"/>
          <w:szCs w:val="20"/>
        </w:rPr>
      </w:pPr>
      <w:r>
        <w:rPr>
          <w:color w:val="000000"/>
          <w:sz w:val="20"/>
          <w:szCs w:val="20"/>
        </w:rPr>
        <w:t xml:space="preserve">Fonte: </w:t>
      </w:r>
      <w:proofErr w:type="spellStart"/>
      <w:r>
        <w:rPr>
          <w:color w:val="000000"/>
          <w:sz w:val="20"/>
          <w:szCs w:val="20"/>
        </w:rPr>
        <w:t>MAPBIOMAS</w:t>
      </w:r>
      <w:proofErr w:type="spellEnd"/>
      <w:r>
        <w:rPr>
          <w:color w:val="000000"/>
          <w:sz w:val="20"/>
          <w:szCs w:val="20"/>
        </w:rPr>
        <w:t xml:space="preserve"> (1994, 2004, 2014 e 2024). Org: Silveira. </w:t>
      </w:r>
      <w:proofErr w:type="spellStart"/>
      <w:r>
        <w:rPr>
          <w:color w:val="000000"/>
          <w:sz w:val="20"/>
          <w:szCs w:val="20"/>
        </w:rPr>
        <w:t>A.A.A</w:t>
      </w:r>
      <w:proofErr w:type="spellEnd"/>
    </w:p>
    <w:p w14:paraId="3F8102EF" w14:textId="77777777" w:rsidR="00317882" w:rsidRDefault="00317882">
      <w:pPr>
        <w:pBdr>
          <w:top w:val="nil"/>
          <w:left w:val="nil"/>
          <w:bottom w:val="nil"/>
          <w:right w:val="nil"/>
          <w:between w:val="nil"/>
        </w:pBdr>
        <w:spacing w:line="360" w:lineRule="auto"/>
        <w:jc w:val="center"/>
        <w:rPr>
          <w:color w:val="000000"/>
          <w:sz w:val="24"/>
          <w:szCs w:val="24"/>
        </w:rPr>
      </w:pPr>
    </w:p>
    <w:p w14:paraId="535A5D65" w14:textId="77777777" w:rsidR="00317882" w:rsidRDefault="00000000">
      <w:pPr>
        <w:pBdr>
          <w:top w:val="nil"/>
          <w:left w:val="nil"/>
          <w:bottom w:val="nil"/>
          <w:right w:val="nil"/>
          <w:between w:val="nil"/>
        </w:pBdr>
        <w:spacing w:line="360" w:lineRule="auto"/>
        <w:jc w:val="both"/>
        <w:rPr>
          <w:b/>
          <w:bCs/>
          <w:color w:val="000000"/>
          <w:sz w:val="28"/>
          <w:szCs w:val="28"/>
        </w:rPr>
      </w:pPr>
      <w:r>
        <w:rPr>
          <w:b/>
          <w:bCs/>
          <w:color w:val="000000"/>
          <w:sz w:val="28"/>
          <w:szCs w:val="28"/>
        </w:rPr>
        <w:t xml:space="preserve">Conclusão </w:t>
      </w:r>
    </w:p>
    <w:p w14:paraId="4CBDCBF9" w14:textId="77777777" w:rsidR="00317882" w:rsidRDefault="00000000">
      <w:pPr>
        <w:pBdr>
          <w:top w:val="nil"/>
          <w:left w:val="nil"/>
          <w:bottom w:val="nil"/>
          <w:right w:val="nil"/>
          <w:between w:val="nil"/>
        </w:pBdr>
        <w:spacing w:line="360" w:lineRule="auto"/>
        <w:ind w:firstLine="720"/>
        <w:jc w:val="both"/>
        <w:rPr>
          <w:color w:val="000000"/>
          <w:sz w:val="24"/>
          <w:szCs w:val="24"/>
        </w:rPr>
      </w:pPr>
      <w:r>
        <w:rPr>
          <w:color w:val="000000"/>
          <w:sz w:val="24"/>
          <w:szCs w:val="24"/>
        </w:rPr>
        <w:t>Conclui-se que o município de Frutal – MG apresentou expressiva expansão urbana entre 1994 e 2024, evidenciada pelo aumento progressivo da área urbanizada ao longo do período analisado. Os resultados obtidos indicam que esse crescimento esteve diretamente associado às transformações socioeconômicas ocorridas no município, especialmente à expansão das atividades agropecuárias e à consolidação do setor sucroenergético. As atividades do setor terciário contribuíram para a geração de empregos, o crescimento populacional e a demanda por habitação, impulsionando a expansão da malha e a reconfiguração do espaço urbano local.</w:t>
      </w:r>
    </w:p>
    <w:p w14:paraId="2846F8F5" w14:textId="77777777" w:rsidR="00317882" w:rsidRDefault="00317882">
      <w:pPr>
        <w:pBdr>
          <w:top w:val="nil"/>
          <w:left w:val="nil"/>
          <w:bottom w:val="nil"/>
          <w:right w:val="nil"/>
          <w:between w:val="nil"/>
        </w:pBdr>
        <w:spacing w:line="360" w:lineRule="auto"/>
        <w:ind w:firstLine="720"/>
        <w:jc w:val="both"/>
        <w:rPr>
          <w:color w:val="000000"/>
          <w:sz w:val="24"/>
          <w:szCs w:val="24"/>
        </w:rPr>
      </w:pPr>
    </w:p>
    <w:p w14:paraId="45C99F41" w14:textId="77777777" w:rsidR="00317882" w:rsidRDefault="00000000">
      <w:pPr>
        <w:pBdr>
          <w:top w:val="nil"/>
          <w:left w:val="nil"/>
          <w:bottom w:val="nil"/>
          <w:right w:val="nil"/>
          <w:between w:val="nil"/>
        </w:pBdr>
        <w:spacing w:line="360" w:lineRule="auto"/>
        <w:jc w:val="both"/>
        <w:rPr>
          <w:b/>
          <w:bCs/>
          <w:color w:val="000000"/>
          <w:sz w:val="28"/>
          <w:szCs w:val="28"/>
        </w:rPr>
      </w:pPr>
      <w:r>
        <w:rPr>
          <w:b/>
          <w:bCs/>
          <w:color w:val="000000"/>
          <w:sz w:val="28"/>
          <w:szCs w:val="28"/>
        </w:rPr>
        <w:t>Agradecimentos</w:t>
      </w:r>
    </w:p>
    <w:p w14:paraId="62EF48B1" w14:textId="77777777" w:rsidR="00317882" w:rsidRDefault="00000000">
      <w:pPr>
        <w:pBdr>
          <w:top w:val="nil"/>
          <w:left w:val="nil"/>
          <w:bottom w:val="nil"/>
          <w:right w:val="nil"/>
          <w:between w:val="nil"/>
        </w:pBdr>
        <w:spacing w:line="360" w:lineRule="auto"/>
        <w:ind w:firstLine="720"/>
        <w:jc w:val="both"/>
        <w:rPr>
          <w:color w:val="000000"/>
          <w:sz w:val="24"/>
          <w:szCs w:val="24"/>
        </w:rPr>
      </w:pPr>
      <w:r>
        <w:rPr>
          <w:color w:val="000000"/>
          <w:sz w:val="24"/>
          <w:szCs w:val="24"/>
        </w:rPr>
        <w:t>Programa de bolsas de Produtividade em Pesquisa (</w:t>
      </w:r>
      <w:proofErr w:type="spellStart"/>
      <w:r>
        <w:rPr>
          <w:color w:val="000000"/>
          <w:sz w:val="24"/>
          <w:szCs w:val="24"/>
        </w:rPr>
        <w:t>PQ</w:t>
      </w:r>
      <w:proofErr w:type="spellEnd"/>
      <w:r>
        <w:rPr>
          <w:color w:val="000000"/>
          <w:sz w:val="24"/>
          <w:szCs w:val="24"/>
        </w:rPr>
        <w:t xml:space="preserve">/UEMG) com ênfase em inovação; Fundação de Amparo à Pesquisa do Estado de Minas Gerais (FAPEMIG); </w:t>
      </w:r>
      <w:proofErr w:type="spellStart"/>
      <w:r>
        <w:rPr>
          <w:color w:val="000000"/>
          <w:sz w:val="24"/>
          <w:szCs w:val="24"/>
        </w:rPr>
        <w:t>Pró-</w:t>
      </w:r>
      <w:r>
        <w:rPr>
          <w:color w:val="000000"/>
          <w:sz w:val="24"/>
          <w:szCs w:val="24"/>
        </w:rPr>
        <w:lastRenderedPageBreak/>
        <w:t>Reitoria</w:t>
      </w:r>
      <w:proofErr w:type="spellEnd"/>
      <w:r>
        <w:rPr>
          <w:color w:val="000000"/>
          <w:sz w:val="24"/>
          <w:szCs w:val="24"/>
        </w:rPr>
        <w:t xml:space="preserve"> de Pesquisa e Pós-graduação da Universidade do Estado de Minas Gerais (</w:t>
      </w:r>
      <w:proofErr w:type="spellStart"/>
      <w:r>
        <w:rPr>
          <w:color w:val="000000"/>
          <w:sz w:val="24"/>
          <w:szCs w:val="24"/>
        </w:rPr>
        <w:t>PROPPG</w:t>
      </w:r>
      <w:proofErr w:type="spellEnd"/>
      <w:r>
        <w:rPr>
          <w:color w:val="000000"/>
          <w:sz w:val="24"/>
          <w:szCs w:val="24"/>
        </w:rPr>
        <w:t>-UEMG); CAPES/</w:t>
      </w:r>
      <w:proofErr w:type="spellStart"/>
      <w:r>
        <w:rPr>
          <w:color w:val="000000"/>
          <w:sz w:val="24"/>
          <w:szCs w:val="24"/>
        </w:rPr>
        <w:t>PROAP</w:t>
      </w:r>
      <w:proofErr w:type="spellEnd"/>
      <w:r>
        <w:rPr>
          <w:color w:val="000000"/>
          <w:sz w:val="24"/>
          <w:szCs w:val="24"/>
        </w:rPr>
        <w:t xml:space="preserve"> – Programa de Apoio à Pós-Graduação.</w:t>
      </w:r>
    </w:p>
    <w:p w14:paraId="10C4A477" w14:textId="77777777" w:rsidR="00317882" w:rsidRDefault="00000000">
      <w:pPr>
        <w:pBdr>
          <w:top w:val="nil"/>
          <w:left w:val="nil"/>
          <w:bottom w:val="nil"/>
          <w:right w:val="nil"/>
          <w:between w:val="nil"/>
        </w:pBdr>
        <w:spacing w:line="360" w:lineRule="auto"/>
        <w:jc w:val="both"/>
        <w:rPr>
          <w:color w:val="000000"/>
          <w:sz w:val="24"/>
          <w:szCs w:val="24"/>
        </w:rPr>
      </w:pPr>
      <w:r>
        <w:rPr>
          <w:color w:val="000000"/>
          <w:sz w:val="24"/>
          <w:szCs w:val="24"/>
        </w:rPr>
        <w:tab/>
      </w:r>
    </w:p>
    <w:p w14:paraId="62E62DDD" w14:textId="77777777" w:rsidR="00317882" w:rsidRDefault="00000000">
      <w:pPr>
        <w:pBdr>
          <w:top w:val="nil"/>
          <w:left w:val="nil"/>
          <w:bottom w:val="nil"/>
          <w:right w:val="nil"/>
          <w:between w:val="nil"/>
        </w:pBdr>
        <w:spacing w:line="360" w:lineRule="auto"/>
        <w:jc w:val="both"/>
        <w:rPr>
          <w:color w:val="000000"/>
          <w:sz w:val="24"/>
          <w:szCs w:val="24"/>
        </w:rPr>
      </w:pPr>
      <w:r>
        <w:rPr>
          <w:b/>
          <w:bCs/>
          <w:color w:val="000000"/>
          <w:sz w:val="28"/>
          <w:szCs w:val="28"/>
        </w:rPr>
        <w:t>Referências</w:t>
      </w:r>
    </w:p>
    <w:p w14:paraId="337A5FD0" w14:textId="77777777" w:rsidR="00317882" w:rsidRDefault="00000000">
      <w:pPr>
        <w:pBdr>
          <w:top w:val="nil"/>
          <w:left w:val="nil"/>
          <w:bottom w:val="nil"/>
          <w:right w:val="nil"/>
          <w:between w:val="nil"/>
        </w:pBdr>
        <w:rPr>
          <w:color w:val="000000"/>
          <w:sz w:val="24"/>
          <w:szCs w:val="24"/>
        </w:rPr>
      </w:pPr>
      <w:r>
        <w:rPr>
          <w:color w:val="000000"/>
          <w:sz w:val="24"/>
          <w:szCs w:val="24"/>
        </w:rPr>
        <w:t xml:space="preserve">CAMPOS, N. L; </w:t>
      </w:r>
      <w:proofErr w:type="spellStart"/>
      <w:r>
        <w:rPr>
          <w:color w:val="000000"/>
          <w:sz w:val="24"/>
          <w:szCs w:val="24"/>
        </w:rPr>
        <w:t>CLEPS</w:t>
      </w:r>
      <w:proofErr w:type="spellEnd"/>
      <w:r>
        <w:rPr>
          <w:color w:val="000000"/>
          <w:sz w:val="24"/>
          <w:szCs w:val="24"/>
        </w:rPr>
        <w:t xml:space="preserve"> JUNIOR, J. Territorialização do capital estrangeiro no setor sucroenergético de Minas Gerais. </w:t>
      </w:r>
      <w:r>
        <w:rPr>
          <w:b/>
          <w:bCs/>
          <w:color w:val="000000"/>
          <w:sz w:val="24"/>
          <w:szCs w:val="24"/>
        </w:rPr>
        <w:t>CAMPO-TERRITÓRIO: Revista de Geografia Agrária</w:t>
      </w:r>
      <w:r>
        <w:rPr>
          <w:color w:val="000000"/>
          <w:sz w:val="24"/>
          <w:szCs w:val="24"/>
        </w:rPr>
        <w:t>, Uberlândia, v. 15, n. 36, p. 169-198, jul. 2020. DOI: https://</w:t>
      </w:r>
      <w:proofErr w:type="spellStart"/>
      <w:r>
        <w:rPr>
          <w:color w:val="000000"/>
          <w:sz w:val="24"/>
          <w:szCs w:val="24"/>
        </w:rPr>
        <w:t>doi.org</w:t>
      </w:r>
      <w:proofErr w:type="spellEnd"/>
      <w:r>
        <w:rPr>
          <w:color w:val="000000"/>
          <w:sz w:val="24"/>
          <w:szCs w:val="24"/>
        </w:rPr>
        <w:t>/10.14393/</w:t>
      </w:r>
      <w:proofErr w:type="spellStart"/>
      <w:r>
        <w:rPr>
          <w:color w:val="000000"/>
          <w:sz w:val="24"/>
          <w:szCs w:val="24"/>
        </w:rPr>
        <w:t>RCT153607</w:t>
      </w:r>
      <w:proofErr w:type="spellEnd"/>
      <w:r>
        <w:rPr>
          <w:color w:val="000000"/>
          <w:sz w:val="24"/>
          <w:szCs w:val="24"/>
        </w:rPr>
        <w:t>. Disponível em: https://seer.ufu.br/index.php/campoterritorio/article/view/53991. Acesso em: 24 jun. 2026.</w:t>
      </w:r>
    </w:p>
    <w:p w14:paraId="78BA70F2" w14:textId="77777777" w:rsidR="00317882" w:rsidRDefault="00317882">
      <w:pPr>
        <w:pBdr>
          <w:top w:val="nil"/>
          <w:left w:val="nil"/>
          <w:bottom w:val="nil"/>
          <w:right w:val="nil"/>
          <w:between w:val="nil"/>
        </w:pBdr>
        <w:rPr>
          <w:color w:val="000000"/>
          <w:sz w:val="24"/>
          <w:szCs w:val="24"/>
        </w:rPr>
      </w:pPr>
    </w:p>
    <w:p w14:paraId="238BF192" w14:textId="77777777" w:rsidR="00317882" w:rsidRDefault="00000000">
      <w:pPr>
        <w:pBdr>
          <w:top w:val="nil"/>
          <w:left w:val="nil"/>
          <w:bottom w:val="nil"/>
          <w:right w:val="nil"/>
          <w:between w:val="nil"/>
        </w:pBdr>
        <w:rPr>
          <w:color w:val="000000"/>
          <w:sz w:val="24"/>
          <w:szCs w:val="24"/>
        </w:rPr>
      </w:pPr>
      <w:r>
        <w:rPr>
          <w:color w:val="000000"/>
          <w:sz w:val="24"/>
          <w:szCs w:val="24"/>
        </w:rPr>
        <w:t xml:space="preserve">CASSOL, H. L. G; ARAI, E.; SANO, E. E; DUTRA, A.C.; HOFFMANN, T. B.; </w:t>
      </w:r>
      <w:proofErr w:type="spellStart"/>
      <w:r>
        <w:rPr>
          <w:color w:val="000000"/>
          <w:sz w:val="24"/>
          <w:szCs w:val="24"/>
        </w:rPr>
        <w:t>SHIMABUKURO</w:t>
      </w:r>
      <w:proofErr w:type="spellEnd"/>
      <w:r>
        <w:rPr>
          <w:color w:val="000000"/>
          <w:sz w:val="24"/>
          <w:szCs w:val="24"/>
        </w:rPr>
        <w:t xml:space="preserve">, Y. E. Imagens de fração máxima derivadas de dados anuais do Projeto para Autonomia de Bordo – Vegetação (PROBA-V) para avaliação rápida do uso e cobertura da terra no estado de Mato Grosso, Brasil. </w:t>
      </w:r>
      <w:r>
        <w:rPr>
          <w:b/>
          <w:bCs/>
          <w:color w:val="000000"/>
          <w:sz w:val="24"/>
          <w:szCs w:val="24"/>
        </w:rPr>
        <w:t>Land</w:t>
      </w:r>
      <w:r>
        <w:rPr>
          <w:color w:val="000000"/>
          <w:sz w:val="24"/>
          <w:szCs w:val="24"/>
        </w:rPr>
        <w:t>, v. 9, n. 5, p. 139, 2020. DOI: 10.3390/</w:t>
      </w:r>
      <w:proofErr w:type="spellStart"/>
      <w:r>
        <w:rPr>
          <w:color w:val="000000"/>
          <w:sz w:val="24"/>
          <w:szCs w:val="24"/>
        </w:rPr>
        <w:t>land9050139</w:t>
      </w:r>
      <w:proofErr w:type="spellEnd"/>
      <w:r>
        <w:rPr>
          <w:color w:val="000000"/>
          <w:sz w:val="24"/>
          <w:szCs w:val="24"/>
        </w:rPr>
        <w:t>. Disponível em: https://</w:t>
      </w:r>
      <w:proofErr w:type="spellStart"/>
      <w:r>
        <w:rPr>
          <w:color w:val="000000"/>
          <w:sz w:val="24"/>
          <w:szCs w:val="24"/>
        </w:rPr>
        <w:t>doi.org</w:t>
      </w:r>
      <w:proofErr w:type="spellEnd"/>
      <w:r>
        <w:rPr>
          <w:color w:val="000000"/>
          <w:sz w:val="24"/>
          <w:szCs w:val="24"/>
        </w:rPr>
        <w:t>/10.3390/</w:t>
      </w:r>
      <w:proofErr w:type="spellStart"/>
      <w:r>
        <w:rPr>
          <w:color w:val="000000"/>
          <w:sz w:val="24"/>
          <w:szCs w:val="24"/>
        </w:rPr>
        <w:t>land9050139</w:t>
      </w:r>
      <w:proofErr w:type="spellEnd"/>
      <w:r>
        <w:rPr>
          <w:color w:val="000000"/>
          <w:sz w:val="24"/>
          <w:szCs w:val="24"/>
        </w:rPr>
        <w:t>. Acesso em: 20 jun. 2026.</w:t>
      </w:r>
    </w:p>
    <w:p w14:paraId="4ABF390B" w14:textId="77777777" w:rsidR="00317882" w:rsidRDefault="00317882">
      <w:pPr>
        <w:pBdr>
          <w:top w:val="nil"/>
          <w:left w:val="nil"/>
          <w:bottom w:val="nil"/>
          <w:right w:val="nil"/>
          <w:between w:val="nil"/>
        </w:pBdr>
        <w:rPr>
          <w:color w:val="000000"/>
          <w:sz w:val="24"/>
          <w:szCs w:val="24"/>
        </w:rPr>
      </w:pPr>
    </w:p>
    <w:p w14:paraId="24FC2E05" w14:textId="77777777" w:rsidR="00317882" w:rsidRDefault="00000000">
      <w:pPr>
        <w:pBdr>
          <w:top w:val="nil"/>
          <w:left w:val="nil"/>
          <w:bottom w:val="nil"/>
          <w:right w:val="nil"/>
          <w:between w:val="nil"/>
        </w:pBdr>
        <w:rPr>
          <w:color w:val="000000"/>
          <w:sz w:val="24"/>
          <w:szCs w:val="24"/>
        </w:rPr>
      </w:pPr>
      <w:r>
        <w:rPr>
          <w:color w:val="000000"/>
          <w:sz w:val="24"/>
          <w:szCs w:val="24"/>
        </w:rPr>
        <w:t xml:space="preserve">GRUPO Queiroz de Queiroz. </w:t>
      </w:r>
      <w:r>
        <w:rPr>
          <w:b/>
          <w:bCs/>
          <w:color w:val="000000"/>
          <w:sz w:val="24"/>
          <w:szCs w:val="24"/>
        </w:rPr>
        <w:t>Usina de Açúcar, Álcool e Energia</w:t>
      </w:r>
      <w:r>
        <w:rPr>
          <w:color w:val="000000"/>
          <w:sz w:val="24"/>
          <w:szCs w:val="24"/>
        </w:rPr>
        <w:t>, 2022. Disponível em: https://www.queirozdequeiroz.com.br/usina-de-acucar-alcool-e-energia/. Acesso em: 26 jun. 2026.</w:t>
      </w:r>
    </w:p>
    <w:p w14:paraId="797E332E" w14:textId="77777777" w:rsidR="00317882" w:rsidRDefault="00317882">
      <w:pPr>
        <w:pBdr>
          <w:top w:val="nil"/>
          <w:left w:val="nil"/>
          <w:bottom w:val="nil"/>
          <w:right w:val="nil"/>
          <w:between w:val="nil"/>
        </w:pBdr>
        <w:rPr>
          <w:color w:val="000000"/>
          <w:sz w:val="24"/>
          <w:szCs w:val="24"/>
        </w:rPr>
      </w:pPr>
    </w:p>
    <w:p w14:paraId="797E62D8" w14:textId="77777777" w:rsidR="00317882" w:rsidRDefault="00000000">
      <w:pPr>
        <w:pBdr>
          <w:top w:val="nil"/>
          <w:left w:val="nil"/>
          <w:bottom w:val="nil"/>
          <w:right w:val="nil"/>
          <w:between w:val="nil"/>
        </w:pBdr>
        <w:rPr>
          <w:color w:val="000000"/>
          <w:sz w:val="24"/>
          <w:szCs w:val="24"/>
        </w:rPr>
      </w:pPr>
      <w:r>
        <w:rPr>
          <w:color w:val="000000"/>
          <w:sz w:val="24"/>
          <w:szCs w:val="24"/>
        </w:rPr>
        <w:t xml:space="preserve">INSTITUTO BRASILEIRO DE GEOGRAFIA E ESTATÍSTICA (IBGE). </w:t>
      </w:r>
      <w:r>
        <w:rPr>
          <w:b/>
          <w:bCs/>
          <w:color w:val="000000"/>
          <w:sz w:val="24"/>
          <w:szCs w:val="24"/>
        </w:rPr>
        <w:t>Malha municipal digital do Brasil: 2025</w:t>
      </w:r>
      <w:r>
        <w:rPr>
          <w:color w:val="000000"/>
          <w:sz w:val="24"/>
          <w:szCs w:val="24"/>
        </w:rPr>
        <w:t>. Rio de Janeiro: IBGE, 2025. Disponível em: https://</w:t>
      </w:r>
      <w:proofErr w:type="spellStart"/>
      <w:r>
        <w:rPr>
          <w:color w:val="000000"/>
          <w:sz w:val="24"/>
          <w:szCs w:val="24"/>
        </w:rPr>
        <w:t>www.ibge.gov.br</w:t>
      </w:r>
      <w:proofErr w:type="spellEnd"/>
      <w:r>
        <w:rPr>
          <w:color w:val="000000"/>
          <w:sz w:val="24"/>
          <w:szCs w:val="24"/>
        </w:rPr>
        <w:t>. Acesso em: 20 jun. 2026.</w:t>
      </w:r>
    </w:p>
    <w:p w14:paraId="00A2F17B" w14:textId="77777777" w:rsidR="00317882" w:rsidRDefault="00317882">
      <w:pPr>
        <w:pBdr>
          <w:top w:val="nil"/>
          <w:left w:val="nil"/>
          <w:bottom w:val="nil"/>
          <w:right w:val="nil"/>
          <w:between w:val="nil"/>
        </w:pBdr>
        <w:rPr>
          <w:color w:val="000000"/>
          <w:sz w:val="24"/>
          <w:szCs w:val="24"/>
        </w:rPr>
      </w:pPr>
    </w:p>
    <w:p w14:paraId="0616BCA6" w14:textId="77777777" w:rsidR="00317882" w:rsidRDefault="00000000">
      <w:pPr>
        <w:pBdr>
          <w:top w:val="nil"/>
          <w:left w:val="nil"/>
          <w:bottom w:val="nil"/>
          <w:right w:val="nil"/>
          <w:between w:val="nil"/>
        </w:pBdr>
        <w:rPr>
          <w:color w:val="000000"/>
          <w:sz w:val="24"/>
          <w:szCs w:val="24"/>
        </w:rPr>
      </w:pPr>
      <w:r>
        <w:rPr>
          <w:color w:val="000000"/>
          <w:sz w:val="24"/>
          <w:szCs w:val="24"/>
        </w:rPr>
        <w:t xml:space="preserve">INSTITUTO BRASILEIRO DE GEOGRAFIA E ESTATÍSTICA (IBGE). </w:t>
      </w:r>
      <w:r>
        <w:rPr>
          <w:b/>
          <w:bCs/>
          <w:color w:val="000000"/>
          <w:sz w:val="24"/>
          <w:szCs w:val="24"/>
        </w:rPr>
        <w:t>IBGE Cidades</w:t>
      </w:r>
      <w:r>
        <w:rPr>
          <w:color w:val="000000"/>
          <w:sz w:val="24"/>
          <w:szCs w:val="24"/>
        </w:rPr>
        <w:t xml:space="preserve"> - Frutal (MG) – Cidades. Rio de Janeiro, 2022. Disponível em: https://</w:t>
      </w:r>
      <w:proofErr w:type="spellStart"/>
      <w:r>
        <w:rPr>
          <w:color w:val="000000"/>
          <w:sz w:val="24"/>
          <w:szCs w:val="24"/>
        </w:rPr>
        <w:t>cidades.ibge.gov.br</w:t>
      </w:r>
      <w:proofErr w:type="spellEnd"/>
      <w:r>
        <w:rPr>
          <w:color w:val="000000"/>
          <w:sz w:val="24"/>
          <w:szCs w:val="24"/>
        </w:rPr>
        <w:t>/brasil/mg/</w:t>
      </w:r>
      <w:proofErr w:type="spellStart"/>
      <w:r>
        <w:rPr>
          <w:color w:val="000000"/>
          <w:sz w:val="24"/>
          <w:szCs w:val="24"/>
        </w:rPr>
        <w:t>frutal</w:t>
      </w:r>
      <w:proofErr w:type="spellEnd"/>
      <w:r>
        <w:rPr>
          <w:color w:val="000000"/>
          <w:sz w:val="24"/>
          <w:szCs w:val="24"/>
        </w:rPr>
        <w:t>/panorama. Acesso em: 25 jun. 2026.</w:t>
      </w:r>
    </w:p>
    <w:p w14:paraId="314FF24A" w14:textId="77777777" w:rsidR="00317882" w:rsidRDefault="00317882">
      <w:pPr>
        <w:pBdr>
          <w:top w:val="nil"/>
          <w:left w:val="nil"/>
          <w:bottom w:val="nil"/>
          <w:right w:val="nil"/>
          <w:between w:val="nil"/>
        </w:pBdr>
        <w:rPr>
          <w:color w:val="000000"/>
          <w:sz w:val="24"/>
          <w:szCs w:val="24"/>
        </w:rPr>
      </w:pPr>
    </w:p>
    <w:p w14:paraId="630ED8E1" w14:textId="77777777" w:rsidR="00317882" w:rsidRDefault="00000000">
      <w:pPr>
        <w:pBdr>
          <w:top w:val="nil"/>
          <w:left w:val="nil"/>
          <w:bottom w:val="nil"/>
          <w:right w:val="nil"/>
          <w:between w:val="nil"/>
        </w:pBdr>
        <w:rPr>
          <w:color w:val="000000"/>
          <w:sz w:val="24"/>
          <w:szCs w:val="24"/>
        </w:rPr>
      </w:pPr>
      <w:r>
        <w:rPr>
          <w:color w:val="000000"/>
          <w:sz w:val="24"/>
          <w:szCs w:val="24"/>
        </w:rPr>
        <w:t xml:space="preserve">LU, D.; SU, K.; WANG, Z.; </w:t>
      </w:r>
      <w:proofErr w:type="spellStart"/>
      <w:r>
        <w:rPr>
          <w:color w:val="000000"/>
          <w:sz w:val="24"/>
          <w:szCs w:val="24"/>
        </w:rPr>
        <w:t>HOU</w:t>
      </w:r>
      <w:proofErr w:type="spellEnd"/>
      <w:r>
        <w:rPr>
          <w:color w:val="000000"/>
          <w:sz w:val="24"/>
          <w:szCs w:val="24"/>
        </w:rPr>
        <w:t xml:space="preserve">, M.; LI, X.; LIN, A.; YANG, Q. </w:t>
      </w:r>
      <w:proofErr w:type="spellStart"/>
      <w:r>
        <w:rPr>
          <w:color w:val="000000"/>
          <w:sz w:val="24"/>
          <w:szCs w:val="24"/>
        </w:rPr>
        <w:t>Patterns</w:t>
      </w:r>
      <w:proofErr w:type="spellEnd"/>
      <w:r>
        <w:rPr>
          <w:color w:val="000000"/>
          <w:sz w:val="24"/>
          <w:szCs w:val="24"/>
        </w:rPr>
        <w:t xml:space="preserve"> </w:t>
      </w:r>
      <w:proofErr w:type="spellStart"/>
      <w:r>
        <w:rPr>
          <w:color w:val="000000"/>
          <w:sz w:val="24"/>
          <w:szCs w:val="24"/>
        </w:rPr>
        <w:t>and</w:t>
      </w:r>
      <w:proofErr w:type="spellEnd"/>
      <w:r>
        <w:rPr>
          <w:color w:val="000000"/>
          <w:sz w:val="24"/>
          <w:szCs w:val="24"/>
        </w:rPr>
        <w:t xml:space="preserve"> drivers </w:t>
      </w:r>
      <w:proofErr w:type="spellStart"/>
      <w:r>
        <w:rPr>
          <w:color w:val="000000"/>
          <w:sz w:val="24"/>
          <w:szCs w:val="24"/>
        </w:rPr>
        <w:t>of</w:t>
      </w:r>
      <w:proofErr w:type="spellEnd"/>
      <w:r>
        <w:rPr>
          <w:color w:val="000000"/>
          <w:sz w:val="24"/>
          <w:szCs w:val="24"/>
        </w:rPr>
        <w:t xml:space="preserve"> </w:t>
      </w:r>
      <w:proofErr w:type="spellStart"/>
      <w:r>
        <w:rPr>
          <w:color w:val="000000"/>
          <w:sz w:val="24"/>
          <w:szCs w:val="24"/>
        </w:rPr>
        <w:t>terrace</w:t>
      </w:r>
      <w:proofErr w:type="spellEnd"/>
      <w:r>
        <w:rPr>
          <w:color w:val="000000"/>
          <w:sz w:val="24"/>
          <w:szCs w:val="24"/>
        </w:rPr>
        <w:t xml:space="preserve"> </w:t>
      </w:r>
      <w:proofErr w:type="spellStart"/>
      <w:r>
        <w:rPr>
          <w:color w:val="000000"/>
          <w:sz w:val="24"/>
          <w:szCs w:val="24"/>
        </w:rPr>
        <w:t>abandonment</w:t>
      </w:r>
      <w:proofErr w:type="spellEnd"/>
      <w:r>
        <w:rPr>
          <w:color w:val="000000"/>
          <w:sz w:val="24"/>
          <w:szCs w:val="24"/>
        </w:rPr>
        <w:t xml:space="preserve"> in China: </w:t>
      </w:r>
      <w:proofErr w:type="spellStart"/>
      <w:r>
        <w:rPr>
          <w:color w:val="000000"/>
          <w:sz w:val="24"/>
          <w:szCs w:val="24"/>
        </w:rPr>
        <w:t>Monitoring</w:t>
      </w:r>
      <w:proofErr w:type="spellEnd"/>
      <w:r>
        <w:rPr>
          <w:color w:val="000000"/>
          <w:sz w:val="24"/>
          <w:szCs w:val="24"/>
        </w:rPr>
        <w:t xml:space="preserve"> </w:t>
      </w:r>
      <w:proofErr w:type="spellStart"/>
      <w:r>
        <w:rPr>
          <w:color w:val="000000"/>
          <w:sz w:val="24"/>
          <w:szCs w:val="24"/>
        </w:rPr>
        <w:t>based</w:t>
      </w:r>
      <w:proofErr w:type="spellEnd"/>
      <w:r>
        <w:rPr>
          <w:color w:val="000000"/>
          <w:sz w:val="24"/>
          <w:szCs w:val="24"/>
        </w:rPr>
        <w:t xml:space="preserve"> </w:t>
      </w:r>
      <w:proofErr w:type="spellStart"/>
      <w:r>
        <w:rPr>
          <w:color w:val="000000"/>
          <w:sz w:val="24"/>
          <w:szCs w:val="24"/>
        </w:rPr>
        <w:t>on</w:t>
      </w:r>
      <w:proofErr w:type="spellEnd"/>
      <w:r>
        <w:rPr>
          <w:color w:val="000000"/>
          <w:sz w:val="24"/>
          <w:szCs w:val="24"/>
        </w:rPr>
        <w:t xml:space="preserve"> </w:t>
      </w:r>
      <w:proofErr w:type="spellStart"/>
      <w:r>
        <w:rPr>
          <w:color w:val="000000"/>
          <w:sz w:val="24"/>
          <w:szCs w:val="24"/>
        </w:rPr>
        <w:t>multi-source</w:t>
      </w:r>
      <w:proofErr w:type="spellEnd"/>
      <w:r>
        <w:rPr>
          <w:color w:val="000000"/>
          <w:sz w:val="24"/>
          <w:szCs w:val="24"/>
        </w:rPr>
        <w:t xml:space="preserve"> </w:t>
      </w:r>
      <w:proofErr w:type="spellStart"/>
      <w:r>
        <w:rPr>
          <w:color w:val="000000"/>
          <w:sz w:val="24"/>
          <w:szCs w:val="24"/>
        </w:rPr>
        <w:t>remote</w:t>
      </w:r>
      <w:proofErr w:type="spellEnd"/>
      <w:r>
        <w:rPr>
          <w:color w:val="000000"/>
          <w:sz w:val="24"/>
          <w:szCs w:val="24"/>
        </w:rPr>
        <w:t xml:space="preserve"> </w:t>
      </w:r>
      <w:proofErr w:type="spellStart"/>
      <w:r>
        <w:rPr>
          <w:color w:val="000000"/>
          <w:sz w:val="24"/>
          <w:szCs w:val="24"/>
        </w:rPr>
        <w:t>sensing</w:t>
      </w:r>
      <w:proofErr w:type="spellEnd"/>
      <w:r>
        <w:rPr>
          <w:color w:val="000000"/>
          <w:sz w:val="24"/>
          <w:szCs w:val="24"/>
        </w:rPr>
        <w:t xml:space="preserve"> data. </w:t>
      </w:r>
      <w:r>
        <w:rPr>
          <w:b/>
          <w:bCs/>
          <w:color w:val="000000"/>
          <w:sz w:val="24"/>
          <w:szCs w:val="24"/>
        </w:rPr>
        <w:t xml:space="preserve">Land Use </w:t>
      </w:r>
      <w:proofErr w:type="spellStart"/>
      <w:r>
        <w:rPr>
          <w:b/>
          <w:bCs/>
          <w:color w:val="000000"/>
          <w:sz w:val="24"/>
          <w:szCs w:val="24"/>
        </w:rPr>
        <w:t>Policy</w:t>
      </w:r>
      <w:proofErr w:type="spellEnd"/>
      <w:r>
        <w:rPr>
          <w:color w:val="000000"/>
          <w:sz w:val="24"/>
          <w:szCs w:val="24"/>
        </w:rPr>
        <w:t>, v. 148, 107388, jan. 2025. Disponível em: https://</w:t>
      </w:r>
      <w:proofErr w:type="spellStart"/>
      <w:r>
        <w:rPr>
          <w:color w:val="000000"/>
          <w:sz w:val="24"/>
          <w:szCs w:val="24"/>
        </w:rPr>
        <w:t>doi.org</w:t>
      </w:r>
      <w:proofErr w:type="spellEnd"/>
      <w:r>
        <w:rPr>
          <w:color w:val="000000"/>
          <w:sz w:val="24"/>
          <w:szCs w:val="24"/>
        </w:rPr>
        <w:t>/10.1016/</w:t>
      </w:r>
      <w:proofErr w:type="spellStart"/>
      <w:r>
        <w:rPr>
          <w:color w:val="000000"/>
          <w:sz w:val="24"/>
          <w:szCs w:val="24"/>
        </w:rPr>
        <w:t>j.landusepol.2024.107388</w:t>
      </w:r>
      <w:proofErr w:type="spellEnd"/>
      <w:r>
        <w:rPr>
          <w:color w:val="000000"/>
          <w:sz w:val="24"/>
          <w:szCs w:val="24"/>
        </w:rPr>
        <w:t>.</w:t>
      </w:r>
    </w:p>
    <w:p w14:paraId="4BA3220A" w14:textId="77777777" w:rsidR="00317882" w:rsidRDefault="00317882">
      <w:pPr>
        <w:pBdr>
          <w:top w:val="nil"/>
          <w:left w:val="nil"/>
          <w:bottom w:val="nil"/>
          <w:right w:val="nil"/>
          <w:between w:val="nil"/>
        </w:pBdr>
        <w:rPr>
          <w:color w:val="000000"/>
          <w:sz w:val="24"/>
          <w:szCs w:val="24"/>
        </w:rPr>
      </w:pPr>
    </w:p>
    <w:p w14:paraId="4C5DCA2D" w14:textId="77777777" w:rsidR="00317882" w:rsidRDefault="00000000">
      <w:pPr>
        <w:pBdr>
          <w:top w:val="nil"/>
          <w:left w:val="nil"/>
          <w:bottom w:val="nil"/>
          <w:right w:val="nil"/>
          <w:between w:val="nil"/>
        </w:pBdr>
        <w:rPr>
          <w:color w:val="000000"/>
          <w:sz w:val="24"/>
          <w:szCs w:val="24"/>
        </w:rPr>
      </w:pPr>
      <w:proofErr w:type="spellStart"/>
      <w:r>
        <w:rPr>
          <w:b/>
          <w:bCs/>
          <w:color w:val="000000"/>
          <w:sz w:val="24"/>
          <w:szCs w:val="24"/>
        </w:rPr>
        <w:t>MAPBIOMAS</w:t>
      </w:r>
      <w:proofErr w:type="spellEnd"/>
      <w:r>
        <w:rPr>
          <w:b/>
          <w:bCs/>
          <w:color w:val="000000"/>
          <w:sz w:val="24"/>
          <w:szCs w:val="24"/>
        </w:rPr>
        <w:t xml:space="preserve"> BRASIL.</w:t>
      </w:r>
      <w:r>
        <w:rPr>
          <w:color w:val="000000"/>
          <w:sz w:val="24"/>
          <w:szCs w:val="24"/>
        </w:rPr>
        <w:t xml:space="preserve"> Mapas de cobertura e uso da terra – Coleção 10. Brasília, DF: </w:t>
      </w:r>
      <w:proofErr w:type="spellStart"/>
      <w:r>
        <w:rPr>
          <w:color w:val="000000"/>
          <w:sz w:val="24"/>
          <w:szCs w:val="24"/>
        </w:rPr>
        <w:t>MapBiomas</w:t>
      </w:r>
      <w:proofErr w:type="spellEnd"/>
      <w:r>
        <w:rPr>
          <w:color w:val="000000"/>
          <w:sz w:val="24"/>
          <w:szCs w:val="24"/>
        </w:rPr>
        <w:t>, 2024. Disponível em: https://</w:t>
      </w:r>
      <w:proofErr w:type="spellStart"/>
      <w:r>
        <w:rPr>
          <w:color w:val="000000"/>
          <w:sz w:val="24"/>
          <w:szCs w:val="24"/>
        </w:rPr>
        <w:t>brasil.mapbiomas.org</w:t>
      </w:r>
      <w:proofErr w:type="spellEnd"/>
      <w:r>
        <w:rPr>
          <w:color w:val="000000"/>
          <w:sz w:val="24"/>
          <w:szCs w:val="24"/>
        </w:rPr>
        <w:t>/downloads/. Acesso em: 24 jun. 2026.</w:t>
      </w:r>
    </w:p>
    <w:p w14:paraId="4521F371" w14:textId="77777777" w:rsidR="00317882" w:rsidRDefault="00317882">
      <w:pPr>
        <w:pBdr>
          <w:top w:val="nil"/>
          <w:left w:val="nil"/>
          <w:bottom w:val="nil"/>
          <w:right w:val="nil"/>
          <w:between w:val="nil"/>
        </w:pBdr>
        <w:rPr>
          <w:color w:val="000000"/>
          <w:sz w:val="24"/>
          <w:szCs w:val="24"/>
        </w:rPr>
      </w:pPr>
    </w:p>
    <w:p w14:paraId="428520C0" w14:textId="77777777" w:rsidR="00317882" w:rsidRDefault="00000000">
      <w:pPr>
        <w:pBdr>
          <w:top w:val="nil"/>
          <w:left w:val="nil"/>
          <w:bottom w:val="nil"/>
          <w:right w:val="nil"/>
          <w:between w:val="nil"/>
        </w:pBdr>
        <w:rPr>
          <w:color w:val="000000"/>
          <w:sz w:val="24"/>
          <w:szCs w:val="24"/>
        </w:rPr>
      </w:pPr>
      <w:proofErr w:type="spellStart"/>
      <w:r>
        <w:rPr>
          <w:b/>
          <w:bCs/>
          <w:color w:val="000000"/>
          <w:sz w:val="24"/>
          <w:szCs w:val="24"/>
        </w:rPr>
        <w:t>SIAMIG</w:t>
      </w:r>
      <w:proofErr w:type="spellEnd"/>
      <w:r>
        <w:rPr>
          <w:b/>
          <w:bCs/>
          <w:color w:val="000000"/>
          <w:sz w:val="24"/>
          <w:szCs w:val="24"/>
        </w:rPr>
        <w:t xml:space="preserve"> BIOENERGIA.</w:t>
      </w:r>
      <w:r>
        <w:rPr>
          <w:color w:val="000000"/>
          <w:sz w:val="24"/>
          <w:szCs w:val="24"/>
        </w:rPr>
        <w:t xml:space="preserve"> Perfil da produção: safra 2025/2026</w:t>
      </w:r>
      <w:r>
        <w:rPr>
          <w:i/>
          <w:iCs/>
          <w:color w:val="000000"/>
          <w:sz w:val="24"/>
          <w:szCs w:val="24"/>
        </w:rPr>
        <w:t xml:space="preserve"> – </w:t>
      </w:r>
      <w:r>
        <w:rPr>
          <w:color w:val="000000"/>
          <w:sz w:val="24"/>
          <w:szCs w:val="24"/>
        </w:rPr>
        <w:t xml:space="preserve">Brasil e Minas Gerais. Belo Horizonte: </w:t>
      </w:r>
      <w:proofErr w:type="spellStart"/>
      <w:r>
        <w:rPr>
          <w:color w:val="000000"/>
          <w:sz w:val="24"/>
          <w:szCs w:val="24"/>
        </w:rPr>
        <w:t>SIAMIG</w:t>
      </w:r>
      <w:proofErr w:type="spellEnd"/>
      <w:r>
        <w:rPr>
          <w:color w:val="000000"/>
          <w:sz w:val="24"/>
          <w:szCs w:val="24"/>
        </w:rPr>
        <w:t xml:space="preserve"> Bioenergia, 2026. Disponível em: https://siamigbioenergia.com.br/wp-content/uploads/2026/06/PERFIL-DE-PRODUCAO-SF-25-26.pdf. Acesso em: 25 jun. 2026</w:t>
      </w:r>
    </w:p>
    <w:p w14:paraId="08463268" w14:textId="77777777" w:rsidR="00317882" w:rsidRDefault="00317882">
      <w:pPr>
        <w:pBdr>
          <w:top w:val="nil"/>
          <w:left w:val="nil"/>
          <w:bottom w:val="nil"/>
          <w:right w:val="nil"/>
          <w:between w:val="nil"/>
        </w:pBdr>
        <w:rPr>
          <w:color w:val="000000"/>
          <w:sz w:val="24"/>
          <w:szCs w:val="24"/>
        </w:rPr>
      </w:pPr>
    </w:p>
    <w:p w14:paraId="08086C4B" w14:textId="77777777" w:rsidR="00317882" w:rsidRDefault="00000000">
      <w:pPr>
        <w:pBdr>
          <w:top w:val="nil"/>
          <w:left w:val="nil"/>
          <w:bottom w:val="nil"/>
          <w:right w:val="nil"/>
          <w:between w:val="nil"/>
        </w:pBdr>
        <w:rPr>
          <w:color w:val="000000"/>
          <w:sz w:val="24"/>
          <w:szCs w:val="24"/>
        </w:rPr>
      </w:pPr>
      <w:r>
        <w:rPr>
          <w:color w:val="000000"/>
          <w:sz w:val="24"/>
          <w:szCs w:val="24"/>
        </w:rPr>
        <w:t xml:space="preserve">TOMAZ, R. A. F.; FERREIRA, O. E; BORGES, A. W. Agronegócio canavieiro e produção de biocombustível em Frutal-MG: territorializações e transformações sociais. </w:t>
      </w:r>
      <w:proofErr w:type="spellStart"/>
      <w:r>
        <w:rPr>
          <w:b/>
          <w:bCs/>
          <w:color w:val="000000"/>
          <w:sz w:val="24"/>
          <w:szCs w:val="24"/>
        </w:rPr>
        <w:t>Brazilian</w:t>
      </w:r>
      <w:proofErr w:type="spellEnd"/>
      <w:r>
        <w:rPr>
          <w:b/>
          <w:bCs/>
          <w:color w:val="000000"/>
          <w:sz w:val="24"/>
          <w:szCs w:val="24"/>
        </w:rPr>
        <w:t xml:space="preserve"> </w:t>
      </w:r>
      <w:proofErr w:type="spellStart"/>
      <w:r>
        <w:rPr>
          <w:b/>
          <w:bCs/>
          <w:color w:val="000000"/>
          <w:sz w:val="24"/>
          <w:szCs w:val="24"/>
        </w:rPr>
        <w:t>Journal</w:t>
      </w:r>
      <w:proofErr w:type="spellEnd"/>
      <w:r>
        <w:rPr>
          <w:b/>
          <w:bCs/>
          <w:color w:val="000000"/>
          <w:sz w:val="24"/>
          <w:szCs w:val="24"/>
        </w:rPr>
        <w:t xml:space="preserve"> </w:t>
      </w:r>
      <w:proofErr w:type="spellStart"/>
      <w:r>
        <w:rPr>
          <w:b/>
          <w:bCs/>
          <w:color w:val="000000"/>
          <w:sz w:val="24"/>
          <w:szCs w:val="24"/>
        </w:rPr>
        <w:t>of</w:t>
      </w:r>
      <w:proofErr w:type="spellEnd"/>
      <w:r>
        <w:rPr>
          <w:b/>
          <w:bCs/>
          <w:color w:val="000000"/>
          <w:sz w:val="24"/>
          <w:szCs w:val="24"/>
        </w:rPr>
        <w:t xml:space="preserve"> </w:t>
      </w:r>
      <w:proofErr w:type="spellStart"/>
      <w:r>
        <w:rPr>
          <w:b/>
          <w:bCs/>
          <w:color w:val="000000"/>
          <w:sz w:val="24"/>
          <w:szCs w:val="24"/>
        </w:rPr>
        <w:t>Development</w:t>
      </w:r>
      <w:proofErr w:type="spellEnd"/>
      <w:r>
        <w:rPr>
          <w:color w:val="000000"/>
          <w:sz w:val="24"/>
          <w:szCs w:val="24"/>
        </w:rPr>
        <w:t>, Curitiba, v. 7, n. 4, p. 35528–35549, 2021.</w:t>
      </w:r>
    </w:p>
    <w:p w14:paraId="462F28AD" w14:textId="77777777" w:rsidR="00317882" w:rsidRDefault="00317882">
      <w:pPr>
        <w:pBdr>
          <w:top w:val="nil"/>
          <w:left w:val="nil"/>
          <w:bottom w:val="nil"/>
          <w:right w:val="nil"/>
          <w:between w:val="nil"/>
        </w:pBdr>
        <w:rPr>
          <w:color w:val="000000"/>
          <w:sz w:val="24"/>
          <w:szCs w:val="24"/>
        </w:rPr>
      </w:pPr>
    </w:p>
    <w:p w14:paraId="1A384DDD" w14:textId="77777777" w:rsidR="00317882" w:rsidRDefault="00000000">
      <w:pPr>
        <w:pBdr>
          <w:top w:val="nil"/>
          <w:left w:val="nil"/>
          <w:bottom w:val="nil"/>
          <w:right w:val="nil"/>
          <w:between w:val="nil"/>
        </w:pBdr>
        <w:rPr>
          <w:color w:val="000000"/>
          <w:sz w:val="24"/>
          <w:szCs w:val="24"/>
        </w:rPr>
      </w:pPr>
      <w:r>
        <w:rPr>
          <w:color w:val="000000"/>
          <w:sz w:val="24"/>
          <w:szCs w:val="24"/>
        </w:rPr>
        <w:t xml:space="preserve">VILLAÇA, F. Espaço </w:t>
      </w:r>
      <w:proofErr w:type="spellStart"/>
      <w:r>
        <w:rPr>
          <w:color w:val="000000"/>
          <w:sz w:val="24"/>
          <w:szCs w:val="24"/>
        </w:rPr>
        <w:t>intra-urbano</w:t>
      </w:r>
      <w:proofErr w:type="spellEnd"/>
      <w:r>
        <w:rPr>
          <w:color w:val="000000"/>
          <w:sz w:val="24"/>
          <w:szCs w:val="24"/>
        </w:rPr>
        <w:t xml:space="preserve"> no Brasil. São Paulo: Studio Nobel; FAPESP; Lincoln </w:t>
      </w:r>
      <w:proofErr w:type="spellStart"/>
      <w:r>
        <w:rPr>
          <w:color w:val="000000"/>
          <w:sz w:val="24"/>
          <w:szCs w:val="24"/>
        </w:rPr>
        <w:lastRenderedPageBreak/>
        <w:t>Institute</w:t>
      </w:r>
      <w:proofErr w:type="spellEnd"/>
      <w:r>
        <w:rPr>
          <w:color w:val="000000"/>
          <w:sz w:val="24"/>
          <w:szCs w:val="24"/>
        </w:rPr>
        <w:t>, 2011.</w:t>
      </w:r>
    </w:p>
    <w:sectPr w:rsidR="00317882">
      <w:headerReference w:type="default" r:id="rId9"/>
      <w:footerReference w:type="default" r:id="rId10"/>
      <w:pgSz w:w="11910" w:h="16840"/>
      <w:pgMar w:top="1701" w:right="1134" w:bottom="1134" w:left="1701" w:header="0" w:footer="141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BDF95" w14:textId="77777777" w:rsidR="00DA6419" w:rsidRDefault="00DA6419">
      <w:r>
        <w:separator/>
      </w:r>
    </w:p>
  </w:endnote>
  <w:endnote w:type="continuationSeparator" w:id="0">
    <w:p w14:paraId="4B892452" w14:textId="77777777" w:rsidR="00DA6419" w:rsidRDefault="00DA6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4F6DB2F9-4674-451B-B048-E902FE33296D}"/>
  </w:font>
  <w:font w:name="Calibri">
    <w:panose1 w:val="020F0502020204030204"/>
    <w:charset w:val="00"/>
    <w:family w:val="swiss"/>
    <w:pitch w:val="variable"/>
    <w:sig w:usb0="E4002EFF" w:usb1="C200247B" w:usb2="00000009" w:usb3="00000000" w:csb0="000001FF" w:csb1="00000000"/>
    <w:embedRegular r:id="rId2" w:fontKey="{F70A6307-6C4C-43BA-9C0D-2FEE791AED89}"/>
  </w:font>
  <w:font w:name="Cambria">
    <w:panose1 w:val="02040503050406030204"/>
    <w:charset w:val="00"/>
    <w:family w:val="roman"/>
    <w:pitch w:val="variable"/>
    <w:sig w:usb0="E00006FF" w:usb1="420024FF" w:usb2="02000000" w:usb3="00000000" w:csb0="0000019F" w:csb1="00000000"/>
    <w:embedRegular r:id="rId3" w:fontKey="{51033929-879A-4771-A748-A4D5B0E4283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C03F4" w14:textId="77777777" w:rsidR="00317882" w:rsidRDefault="00317882">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48817" w14:textId="77777777" w:rsidR="00DA6419" w:rsidRDefault="00DA6419">
      <w:r>
        <w:separator/>
      </w:r>
    </w:p>
  </w:footnote>
  <w:footnote w:type="continuationSeparator" w:id="0">
    <w:p w14:paraId="43292402" w14:textId="77777777" w:rsidR="00DA6419" w:rsidRDefault="00DA64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5F071" w14:textId="77777777" w:rsidR="00317882" w:rsidRDefault="00000000">
    <w:pPr>
      <w:pBdr>
        <w:top w:val="nil"/>
        <w:left w:val="nil"/>
        <w:bottom w:val="nil"/>
        <w:right w:val="nil"/>
        <w:between w:val="nil"/>
      </w:pBdr>
      <w:tabs>
        <w:tab w:val="center" w:pos="4252"/>
        <w:tab w:val="right" w:pos="8504"/>
      </w:tabs>
      <w:rPr>
        <w:color w:val="000000"/>
      </w:rPr>
    </w:pPr>
    <w:r>
      <w:rPr>
        <w:noProof/>
        <w:color w:val="000000"/>
        <w:sz w:val="24"/>
        <w:szCs w:val="24"/>
      </w:rPr>
      <w:drawing>
        <wp:anchor distT="0" distB="0" distL="0" distR="0" simplePos="0" relativeHeight="251658240" behindDoc="0" locked="0" layoutInCell="1" hidden="0" allowOverlap="1" wp14:anchorId="3810C192" wp14:editId="75DEC9A4">
          <wp:simplePos x="0" y="0"/>
          <wp:positionH relativeFrom="page">
            <wp:posOffset>-85724</wp:posOffset>
          </wp:positionH>
          <wp:positionV relativeFrom="page">
            <wp:posOffset>0</wp:posOffset>
          </wp:positionV>
          <wp:extent cx="7629525" cy="1066800"/>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629525" cy="10668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882"/>
    <w:rsid w:val="00317882"/>
    <w:rsid w:val="0053771E"/>
    <w:rsid w:val="00634C66"/>
    <w:rsid w:val="00DA641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99250"/>
  <w15:docId w15:val="{213D2BBB-6F14-497D-BC53-08110061E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t-BR" w:eastAsia="pt-B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outlineLvl w:val="0"/>
    </w:pPr>
    <w:rPr>
      <w:b/>
      <w:bCs/>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before="367"/>
      <w:ind w:left="75" w:right="209"/>
      <w:jc w:val="center"/>
    </w:pPr>
    <w:rPr>
      <w:b/>
      <w:bCs/>
      <w:sz w:val="32"/>
      <w:szCs w:val="3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1920</Words>
  <Characters>10370</Characters>
  <Application>Microsoft Office Word</Application>
  <DocSecurity>0</DocSecurity>
  <Lines>86</Lines>
  <Paragraphs>24</Paragraphs>
  <ScaleCrop>false</ScaleCrop>
  <Company/>
  <LinksUpToDate>false</LinksUpToDate>
  <CharactersWithSpaces>12266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Thiago Silveira</cp:lastModifiedBy>
  <cp:revision>2</cp:revision>
  <dcterms:created xsi:type="dcterms:W3CDTF">2026-06-30T13:11:00Z</dcterms:created>
  <dcterms:modified xsi:type="dcterms:W3CDTF">2026-06-30T13:12:00Z</dcterms:modified>
</cp:coreProperties>
</file>