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4A" w:rsidRDefault="00D0394C" w:rsidP="0012462E">
      <w:pPr>
        <w:jc w:val="center"/>
        <w:rPr>
          <w:b/>
          <w:sz w:val="24"/>
          <w:szCs w:val="24"/>
        </w:rPr>
      </w:pPr>
      <w:r>
        <w:rPr>
          <w:b/>
          <w:sz w:val="24"/>
          <w:szCs w:val="24"/>
        </w:rPr>
        <w:t xml:space="preserve"> </w:t>
      </w:r>
    </w:p>
    <w:p w:rsidR="0012462E" w:rsidRDefault="000509A8" w:rsidP="0012462E">
      <w:pPr>
        <w:jc w:val="center"/>
        <w:rPr>
          <w:b/>
          <w:sz w:val="24"/>
          <w:szCs w:val="24"/>
        </w:rPr>
      </w:pPr>
      <w:r w:rsidRPr="000509A8">
        <w:rPr>
          <w:b/>
          <w:sz w:val="24"/>
          <w:szCs w:val="24"/>
        </w:rPr>
        <w:t xml:space="preserve">ANÁLISE MULTIVARIADA E IDENTIFICAÇÃO DOS PADRÕES DE DESFLORESTAMENTO NO MUNICÍPIO DE ITAITUBA-PA, 2000 Á </w:t>
      </w:r>
      <w:proofErr w:type="gramStart"/>
      <w:r w:rsidRPr="000509A8">
        <w:rPr>
          <w:b/>
          <w:sz w:val="24"/>
          <w:szCs w:val="24"/>
        </w:rPr>
        <w:t>2012</w:t>
      </w:r>
      <w:proofErr w:type="gramEnd"/>
      <w:r w:rsidR="0012462E" w:rsidRPr="004306A6">
        <w:rPr>
          <w:b/>
          <w:sz w:val="24"/>
          <w:szCs w:val="24"/>
        </w:rPr>
        <w:t xml:space="preserve"> </w:t>
      </w:r>
    </w:p>
    <w:p w:rsidR="00F41357" w:rsidRPr="004306A6" w:rsidRDefault="00F41357" w:rsidP="0012462E">
      <w:pPr>
        <w:jc w:val="center"/>
        <w:rPr>
          <w:b/>
          <w:sz w:val="24"/>
          <w:szCs w:val="24"/>
        </w:rPr>
      </w:pPr>
    </w:p>
    <w:p w:rsidR="0012462E" w:rsidRDefault="00426747" w:rsidP="00F41357">
      <w:pPr>
        <w:jc w:val="center"/>
        <w:rPr>
          <w:sz w:val="24"/>
          <w:szCs w:val="24"/>
        </w:rPr>
      </w:pPr>
      <w:r>
        <w:rPr>
          <w:sz w:val="24"/>
          <w:szCs w:val="24"/>
        </w:rPr>
        <w:t>Luciana Haydemar Ferreira Ramos</w:t>
      </w:r>
      <w:r w:rsidR="0012462E" w:rsidRPr="004F6258">
        <w:rPr>
          <w:sz w:val="24"/>
          <w:szCs w:val="24"/>
          <w:vertAlign w:val="superscript"/>
        </w:rPr>
        <w:t>1</w:t>
      </w:r>
      <w:r w:rsidR="00A14A7B">
        <w:rPr>
          <w:sz w:val="24"/>
          <w:szCs w:val="24"/>
        </w:rPr>
        <w:t>;</w:t>
      </w:r>
      <w:r w:rsidR="0012462E" w:rsidRPr="004F6258">
        <w:rPr>
          <w:sz w:val="24"/>
          <w:szCs w:val="24"/>
        </w:rPr>
        <w:t xml:space="preserve"> </w:t>
      </w:r>
      <w:r>
        <w:rPr>
          <w:sz w:val="24"/>
          <w:szCs w:val="24"/>
        </w:rPr>
        <w:t>Walbe</w:t>
      </w:r>
      <w:r w:rsidR="0012462E" w:rsidRPr="004F6258">
        <w:rPr>
          <w:sz w:val="24"/>
          <w:szCs w:val="24"/>
        </w:rPr>
        <w:t>r</w:t>
      </w:r>
      <w:r>
        <w:rPr>
          <w:sz w:val="24"/>
          <w:szCs w:val="24"/>
        </w:rPr>
        <w:t xml:space="preserve"> Lopes de Oliveira</w:t>
      </w:r>
      <w:r w:rsidR="0012462E" w:rsidRPr="004F6258">
        <w:rPr>
          <w:sz w:val="24"/>
          <w:szCs w:val="24"/>
          <w:vertAlign w:val="superscript"/>
        </w:rPr>
        <w:t>2</w:t>
      </w:r>
      <w:r w:rsidR="00A14A7B">
        <w:rPr>
          <w:sz w:val="24"/>
          <w:szCs w:val="24"/>
        </w:rPr>
        <w:t>;</w:t>
      </w:r>
      <w:r w:rsidR="003A4B26">
        <w:rPr>
          <w:sz w:val="24"/>
          <w:szCs w:val="24"/>
        </w:rPr>
        <w:t xml:space="preserve"> </w:t>
      </w:r>
      <w:r>
        <w:rPr>
          <w:sz w:val="24"/>
          <w:szCs w:val="24"/>
        </w:rPr>
        <w:t>Ana Claudia Ferreira Ramos</w:t>
      </w:r>
      <w:r w:rsidRPr="004F6258">
        <w:rPr>
          <w:sz w:val="24"/>
          <w:szCs w:val="24"/>
          <w:vertAlign w:val="superscript"/>
        </w:rPr>
        <w:t>2</w:t>
      </w:r>
      <w:r w:rsidR="003A4B26">
        <w:rPr>
          <w:sz w:val="24"/>
          <w:szCs w:val="24"/>
        </w:rPr>
        <w:t>;</w:t>
      </w:r>
      <w:r w:rsidR="002F37D6">
        <w:rPr>
          <w:sz w:val="24"/>
          <w:szCs w:val="24"/>
        </w:rPr>
        <w:t xml:space="preserve"> </w:t>
      </w:r>
    </w:p>
    <w:p w:rsidR="00F41357" w:rsidRPr="004F6258" w:rsidRDefault="00F41357" w:rsidP="00F41357">
      <w:pPr>
        <w:jc w:val="center"/>
        <w:rPr>
          <w:sz w:val="24"/>
          <w:szCs w:val="24"/>
        </w:rPr>
      </w:pPr>
    </w:p>
    <w:p w:rsidR="0012462E" w:rsidRDefault="00426747" w:rsidP="0012462E">
      <w:pPr>
        <w:pStyle w:val="Rodap"/>
        <w:jc w:val="center"/>
        <w:rPr>
          <w:sz w:val="24"/>
          <w:szCs w:val="24"/>
        </w:rPr>
      </w:pPr>
      <w:proofErr w:type="gramStart"/>
      <w:r>
        <w:rPr>
          <w:sz w:val="24"/>
          <w:szCs w:val="24"/>
          <w:vertAlign w:val="superscript"/>
        </w:rPr>
        <w:t>1</w:t>
      </w:r>
      <w:proofErr w:type="gramEnd"/>
      <w:r>
        <w:rPr>
          <w:sz w:val="24"/>
          <w:szCs w:val="24"/>
          <w:vertAlign w:val="superscript"/>
        </w:rPr>
        <w:t xml:space="preserve"> </w:t>
      </w:r>
      <w:r>
        <w:rPr>
          <w:sz w:val="24"/>
          <w:szCs w:val="24"/>
        </w:rPr>
        <w:t>Graduada em Engenharia Ambiental</w:t>
      </w:r>
      <w:r w:rsidR="0012462E" w:rsidRPr="004F6258">
        <w:rPr>
          <w:sz w:val="24"/>
          <w:szCs w:val="24"/>
        </w:rPr>
        <w:t xml:space="preserve">. </w:t>
      </w:r>
      <w:r>
        <w:rPr>
          <w:sz w:val="24"/>
          <w:szCs w:val="24"/>
        </w:rPr>
        <w:t>Universidade do Estado do Pará</w:t>
      </w:r>
      <w:r w:rsidR="0012462E" w:rsidRPr="004F6258">
        <w:rPr>
          <w:sz w:val="24"/>
          <w:szCs w:val="24"/>
        </w:rPr>
        <w:t xml:space="preserve">. </w:t>
      </w:r>
      <w:r w:rsidR="00F41357">
        <w:rPr>
          <w:sz w:val="24"/>
          <w:szCs w:val="24"/>
        </w:rPr>
        <w:t>l</w:t>
      </w:r>
      <w:r>
        <w:rPr>
          <w:sz w:val="24"/>
          <w:szCs w:val="24"/>
        </w:rPr>
        <w:t>ucianahayde@hotmail.com</w:t>
      </w:r>
      <w:r w:rsidR="0012462E" w:rsidRPr="004F6258">
        <w:rPr>
          <w:sz w:val="24"/>
          <w:szCs w:val="24"/>
        </w:rPr>
        <w:t xml:space="preserve">. </w:t>
      </w:r>
    </w:p>
    <w:p w:rsidR="0012462E" w:rsidRDefault="00426747" w:rsidP="0012462E">
      <w:pPr>
        <w:pStyle w:val="Rodap"/>
        <w:jc w:val="center"/>
        <w:rPr>
          <w:sz w:val="24"/>
          <w:szCs w:val="24"/>
        </w:rPr>
      </w:pPr>
      <w:proofErr w:type="gramStart"/>
      <w:r>
        <w:rPr>
          <w:sz w:val="24"/>
          <w:szCs w:val="24"/>
          <w:vertAlign w:val="superscript"/>
        </w:rPr>
        <w:t>2</w:t>
      </w:r>
      <w:proofErr w:type="gramEnd"/>
      <w:r>
        <w:rPr>
          <w:sz w:val="24"/>
          <w:szCs w:val="24"/>
          <w:vertAlign w:val="superscript"/>
        </w:rPr>
        <w:t xml:space="preserve"> </w:t>
      </w:r>
      <w:r>
        <w:rPr>
          <w:sz w:val="24"/>
          <w:szCs w:val="24"/>
        </w:rPr>
        <w:t>Graduado em Engenharia Ambiental. Universidade do Estado do Pará</w:t>
      </w:r>
      <w:r w:rsidR="0012462E" w:rsidRPr="004F6258">
        <w:rPr>
          <w:sz w:val="24"/>
          <w:szCs w:val="24"/>
        </w:rPr>
        <w:t xml:space="preserve">. </w:t>
      </w:r>
      <w:r>
        <w:rPr>
          <w:sz w:val="24"/>
          <w:szCs w:val="24"/>
        </w:rPr>
        <w:t>walberlopez@live.com;</w:t>
      </w:r>
    </w:p>
    <w:p w:rsidR="00426747" w:rsidRDefault="00426747" w:rsidP="0012462E">
      <w:pPr>
        <w:pStyle w:val="Rodap"/>
        <w:jc w:val="center"/>
        <w:rPr>
          <w:sz w:val="24"/>
          <w:szCs w:val="24"/>
        </w:rPr>
      </w:pPr>
      <w:proofErr w:type="gramStart"/>
      <w:r>
        <w:rPr>
          <w:sz w:val="24"/>
          <w:szCs w:val="24"/>
          <w:vertAlign w:val="superscript"/>
        </w:rPr>
        <w:t>2</w:t>
      </w:r>
      <w:proofErr w:type="gramEnd"/>
      <w:r>
        <w:rPr>
          <w:sz w:val="24"/>
          <w:szCs w:val="24"/>
          <w:vertAlign w:val="superscript"/>
        </w:rPr>
        <w:t xml:space="preserve"> </w:t>
      </w:r>
      <w:r>
        <w:rPr>
          <w:sz w:val="24"/>
          <w:szCs w:val="24"/>
        </w:rPr>
        <w:t xml:space="preserve"> Especialista em Geoprocessamento. Universidade do Estado do Pará</w:t>
      </w:r>
      <w:r w:rsidRPr="004F6258">
        <w:rPr>
          <w:sz w:val="24"/>
          <w:szCs w:val="24"/>
        </w:rPr>
        <w:t>.</w:t>
      </w:r>
      <w:r>
        <w:rPr>
          <w:sz w:val="24"/>
          <w:szCs w:val="24"/>
        </w:rPr>
        <w:t xml:space="preserve"> ana.acfr@gmail.com.</w:t>
      </w:r>
    </w:p>
    <w:p w:rsidR="0012462E" w:rsidRDefault="0012462E" w:rsidP="0012462E">
      <w:pPr>
        <w:jc w:val="center"/>
        <w:rPr>
          <w:b/>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AF4C54" w:rsidRPr="00F41357" w:rsidRDefault="000509A8" w:rsidP="0012462E">
      <w:pPr>
        <w:jc w:val="both"/>
        <w:rPr>
          <w:sz w:val="24"/>
          <w:szCs w:val="24"/>
        </w:rPr>
      </w:pPr>
      <w:r w:rsidRPr="000509A8">
        <w:rPr>
          <w:sz w:val="24"/>
          <w:szCs w:val="24"/>
        </w:rPr>
        <w:t>Vários são os fatores responsáveis por modificar as características naturais da floresta Amazônica de acordo com a abertura de novas fronteiras de produção, esses fatores são, principalmente, o corte e a queima da floresta para cultivos pela agricultura familiar, a implantação de culti</w:t>
      </w:r>
      <w:r w:rsidR="00AA617C">
        <w:rPr>
          <w:sz w:val="24"/>
          <w:szCs w:val="24"/>
        </w:rPr>
        <w:t>vos de grãos pela agroindústria</w:t>
      </w:r>
      <w:r w:rsidRPr="000509A8">
        <w:rPr>
          <w:sz w:val="24"/>
          <w:szCs w:val="24"/>
        </w:rPr>
        <w:t xml:space="preserve"> e a transformação da floresta em pastagens para a criação de gado. O presente artigo tem </w:t>
      </w:r>
      <w:r w:rsidR="00563D89">
        <w:rPr>
          <w:sz w:val="24"/>
          <w:szCs w:val="24"/>
        </w:rPr>
        <w:t>o</w:t>
      </w:r>
      <w:r w:rsidRPr="000509A8">
        <w:rPr>
          <w:sz w:val="24"/>
          <w:szCs w:val="24"/>
        </w:rPr>
        <w:t xml:space="preserve"> objetivo</w:t>
      </w:r>
      <w:r w:rsidR="00563D89">
        <w:rPr>
          <w:sz w:val="24"/>
          <w:szCs w:val="24"/>
        </w:rPr>
        <w:t xml:space="preserve"> de</w:t>
      </w:r>
      <w:r w:rsidRPr="000509A8">
        <w:rPr>
          <w:sz w:val="24"/>
          <w:szCs w:val="24"/>
        </w:rPr>
        <w:t xml:space="preserve"> determinar a dinâmica temporal das taxas de desflorestamento, sua espacialização e tendências futuras</w:t>
      </w:r>
      <w:r w:rsidR="001D56BB">
        <w:rPr>
          <w:sz w:val="24"/>
          <w:szCs w:val="24"/>
        </w:rPr>
        <w:t>,</w:t>
      </w:r>
      <w:r w:rsidRPr="000509A8">
        <w:rPr>
          <w:sz w:val="24"/>
          <w:szCs w:val="24"/>
        </w:rPr>
        <w:t xml:space="preserve"> de acordo com os fatores de agricultura e pecuária, </w:t>
      </w:r>
      <w:r w:rsidR="00BF04DA">
        <w:rPr>
          <w:sz w:val="24"/>
          <w:szCs w:val="24"/>
        </w:rPr>
        <w:t>o</w:t>
      </w:r>
      <w:r w:rsidRPr="000509A8">
        <w:rPr>
          <w:sz w:val="24"/>
          <w:szCs w:val="24"/>
        </w:rPr>
        <w:t>s quais foram identificad</w:t>
      </w:r>
      <w:r w:rsidR="00BF04DA">
        <w:rPr>
          <w:sz w:val="24"/>
          <w:szCs w:val="24"/>
        </w:rPr>
        <w:t>o</w:t>
      </w:r>
      <w:r w:rsidRPr="000509A8">
        <w:rPr>
          <w:sz w:val="24"/>
          <w:szCs w:val="24"/>
        </w:rPr>
        <w:t xml:space="preserve">s </w:t>
      </w:r>
      <w:r w:rsidR="00BF04DA">
        <w:rPr>
          <w:sz w:val="24"/>
          <w:szCs w:val="24"/>
        </w:rPr>
        <w:t xml:space="preserve">como </w:t>
      </w:r>
      <w:r w:rsidR="00356B0A">
        <w:rPr>
          <w:sz w:val="24"/>
          <w:szCs w:val="24"/>
        </w:rPr>
        <w:t xml:space="preserve">atividades </w:t>
      </w:r>
      <w:r w:rsidRPr="000509A8">
        <w:rPr>
          <w:sz w:val="24"/>
          <w:szCs w:val="24"/>
        </w:rPr>
        <w:t>de maior influência para o desmatamento no município de Itaituba</w:t>
      </w:r>
      <w:r w:rsidR="00E63595">
        <w:rPr>
          <w:sz w:val="24"/>
          <w:szCs w:val="24"/>
        </w:rPr>
        <w:t xml:space="preserve"> no estado do </w:t>
      </w:r>
      <w:r w:rsidRPr="000509A8">
        <w:rPr>
          <w:sz w:val="24"/>
          <w:szCs w:val="24"/>
        </w:rPr>
        <w:t>P</w:t>
      </w:r>
      <w:r w:rsidR="00E63595">
        <w:rPr>
          <w:sz w:val="24"/>
          <w:szCs w:val="24"/>
        </w:rPr>
        <w:t>ará</w:t>
      </w:r>
      <w:r w:rsidRPr="000509A8">
        <w:rPr>
          <w:sz w:val="24"/>
          <w:szCs w:val="24"/>
        </w:rPr>
        <w:t>, a</w:t>
      </w:r>
      <w:r w:rsidR="007479BA">
        <w:rPr>
          <w:sz w:val="24"/>
          <w:szCs w:val="24"/>
        </w:rPr>
        <w:t xml:space="preserve"> partir </w:t>
      </w:r>
      <w:r w:rsidRPr="000509A8">
        <w:rPr>
          <w:sz w:val="24"/>
          <w:szCs w:val="24"/>
        </w:rPr>
        <w:t>da determinação da sua equação de desmatamento. Os dados sobre o desflorestamento foram obtidos</w:t>
      </w:r>
      <w:r w:rsidR="00EC6764">
        <w:rPr>
          <w:sz w:val="24"/>
          <w:szCs w:val="24"/>
        </w:rPr>
        <w:t xml:space="preserve"> pelo </w:t>
      </w:r>
      <w:r w:rsidR="00EC6764" w:rsidRPr="00420D2D">
        <w:rPr>
          <w:sz w:val="24"/>
          <w:szCs w:val="24"/>
        </w:rPr>
        <w:t>Sistema SIDRA</w:t>
      </w:r>
      <w:r w:rsidRPr="000509A8">
        <w:rPr>
          <w:sz w:val="24"/>
          <w:szCs w:val="24"/>
        </w:rPr>
        <w:t xml:space="preserve"> </w:t>
      </w:r>
      <w:r w:rsidR="00EC6764">
        <w:rPr>
          <w:sz w:val="24"/>
          <w:szCs w:val="24"/>
        </w:rPr>
        <w:t xml:space="preserve">e </w:t>
      </w:r>
      <w:r w:rsidR="0084625A">
        <w:rPr>
          <w:sz w:val="24"/>
          <w:szCs w:val="24"/>
        </w:rPr>
        <w:t xml:space="preserve">pelo Programa </w:t>
      </w:r>
      <w:r w:rsidR="00EC6764">
        <w:rPr>
          <w:sz w:val="24"/>
          <w:szCs w:val="24"/>
        </w:rPr>
        <w:t>PRODES</w:t>
      </w:r>
      <w:r w:rsidR="0084625A">
        <w:rPr>
          <w:sz w:val="24"/>
          <w:szCs w:val="24"/>
        </w:rPr>
        <w:t>,</w:t>
      </w:r>
      <w:r w:rsidR="00EC6764">
        <w:rPr>
          <w:sz w:val="24"/>
          <w:szCs w:val="24"/>
        </w:rPr>
        <w:t xml:space="preserve"> </w:t>
      </w:r>
      <w:r w:rsidR="0063257A">
        <w:rPr>
          <w:sz w:val="24"/>
          <w:szCs w:val="24"/>
        </w:rPr>
        <w:t>c</w:t>
      </w:r>
      <w:r w:rsidRPr="000509A8">
        <w:rPr>
          <w:sz w:val="24"/>
          <w:szCs w:val="24"/>
        </w:rPr>
        <w:t>o</w:t>
      </w:r>
      <w:r w:rsidR="0063257A">
        <w:rPr>
          <w:sz w:val="24"/>
          <w:szCs w:val="24"/>
        </w:rPr>
        <w:t>m</w:t>
      </w:r>
      <w:r w:rsidRPr="000509A8">
        <w:rPr>
          <w:sz w:val="24"/>
          <w:szCs w:val="24"/>
        </w:rPr>
        <w:t xml:space="preserve"> auxílio de um modelo analítico retirado do software IBM SPSS </w:t>
      </w:r>
      <w:proofErr w:type="spellStart"/>
      <w:r w:rsidRPr="000509A8">
        <w:rPr>
          <w:sz w:val="24"/>
          <w:szCs w:val="24"/>
        </w:rPr>
        <w:t>Statics</w:t>
      </w:r>
      <w:proofErr w:type="spellEnd"/>
      <w:r w:rsidRPr="000509A8">
        <w:rPr>
          <w:sz w:val="24"/>
          <w:szCs w:val="24"/>
        </w:rPr>
        <w:t xml:space="preserve"> 19, por meio dos índices estatísticos, tais c</w:t>
      </w:r>
      <w:r w:rsidR="00E63595">
        <w:rPr>
          <w:sz w:val="24"/>
          <w:szCs w:val="24"/>
        </w:rPr>
        <w:t>omo KMO e comunalidade</w:t>
      </w:r>
      <w:r w:rsidRPr="000509A8">
        <w:rPr>
          <w:sz w:val="24"/>
          <w:szCs w:val="24"/>
        </w:rPr>
        <w:t xml:space="preserve">. Os resultados obtidos </w:t>
      </w:r>
      <w:r w:rsidR="00E63595">
        <w:rPr>
          <w:sz w:val="24"/>
          <w:szCs w:val="24"/>
        </w:rPr>
        <w:t>revelam</w:t>
      </w:r>
      <w:r w:rsidRPr="000509A8">
        <w:rPr>
          <w:sz w:val="24"/>
          <w:szCs w:val="24"/>
        </w:rPr>
        <w:t xml:space="preserve"> </w:t>
      </w:r>
      <w:r w:rsidR="00E63595">
        <w:rPr>
          <w:sz w:val="24"/>
          <w:szCs w:val="24"/>
        </w:rPr>
        <w:t>que</w:t>
      </w:r>
      <w:r w:rsidRPr="000509A8">
        <w:rPr>
          <w:sz w:val="24"/>
          <w:szCs w:val="24"/>
        </w:rPr>
        <w:t xml:space="preserve"> a análise do fatorial foi satisfatória, de acordo com os índices estatísticos que por sua vez, comprovam </w:t>
      </w:r>
      <w:r w:rsidR="00E63595">
        <w:rPr>
          <w:sz w:val="24"/>
          <w:szCs w:val="24"/>
        </w:rPr>
        <w:t>que</w:t>
      </w:r>
      <w:r w:rsidRPr="000509A8">
        <w:rPr>
          <w:sz w:val="24"/>
          <w:szCs w:val="24"/>
        </w:rPr>
        <w:t xml:space="preserve"> o modelo proposto é válido para expressar o desmat</w:t>
      </w:r>
      <w:r w:rsidR="00E63595">
        <w:rPr>
          <w:sz w:val="24"/>
          <w:szCs w:val="24"/>
        </w:rPr>
        <w:t>amento no município de Itaituba</w:t>
      </w:r>
      <w:r w:rsidRPr="000509A8">
        <w:rPr>
          <w:sz w:val="24"/>
          <w:szCs w:val="24"/>
        </w:rPr>
        <w:t>. Portanto, a partir das análises se torna possível desenvolver políticas públicas de gestão do desmatamento nesta cidade.</w:t>
      </w:r>
      <w:r w:rsidR="00131735" w:rsidRPr="00F41357">
        <w:rPr>
          <w:sz w:val="24"/>
          <w:szCs w:val="24"/>
        </w:rPr>
        <w:t xml:space="preserve"> </w:t>
      </w:r>
    </w:p>
    <w:p w:rsidR="00F41357" w:rsidRDefault="00F41357" w:rsidP="0012462E">
      <w:pPr>
        <w:rPr>
          <w:b/>
          <w:bCs/>
          <w:sz w:val="24"/>
          <w:szCs w:val="24"/>
        </w:rPr>
      </w:pPr>
    </w:p>
    <w:p w:rsidR="0012462E" w:rsidRPr="00422D2D" w:rsidRDefault="0012462E" w:rsidP="00371577">
      <w:pPr>
        <w:jc w:val="both"/>
        <w:rPr>
          <w:bCs/>
          <w:sz w:val="24"/>
          <w:szCs w:val="24"/>
        </w:rPr>
      </w:pPr>
      <w:r w:rsidRPr="004F6258">
        <w:rPr>
          <w:b/>
          <w:bCs/>
          <w:sz w:val="24"/>
          <w:szCs w:val="24"/>
        </w:rPr>
        <w:t xml:space="preserve">Palavras-chave: </w:t>
      </w:r>
      <w:r w:rsidR="000509A8" w:rsidRPr="00422D2D">
        <w:rPr>
          <w:bCs/>
          <w:sz w:val="24"/>
          <w:szCs w:val="24"/>
        </w:rPr>
        <w:t>Desflorestamento. Análise Mult</w:t>
      </w:r>
      <w:r w:rsidR="00DC5C31" w:rsidRPr="00422D2D">
        <w:rPr>
          <w:bCs/>
          <w:sz w:val="24"/>
          <w:szCs w:val="24"/>
        </w:rPr>
        <w:t>ivariada</w:t>
      </w:r>
      <w:r w:rsidR="000509A8" w:rsidRPr="00422D2D">
        <w:rPr>
          <w:bCs/>
          <w:sz w:val="24"/>
          <w:szCs w:val="24"/>
        </w:rPr>
        <w:t>.</w:t>
      </w:r>
      <w:r w:rsidR="00DC5C31" w:rsidRPr="00422D2D">
        <w:rPr>
          <w:bCs/>
          <w:sz w:val="24"/>
          <w:szCs w:val="24"/>
        </w:rPr>
        <w:t xml:space="preserve"> Amazônia.</w:t>
      </w:r>
    </w:p>
    <w:p w:rsidR="0012462E" w:rsidRPr="003F6E7F" w:rsidRDefault="0012462E" w:rsidP="0012462E">
      <w:pPr>
        <w:jc w:val="center"/>
        <w:rPr>
          <w:sz w:val="24"/>
          <w:szCs w:val="28"/>
        </w:rPr>
      </w:pPr>
    </w:p>
    <w:p w:rsidR="0012462E" w:rsidRDefault="0012462E" w:rsidP="00371577">
      <w:pPr>
        <w:jc w:val="both"/>
        <w:rPr>
          <w:sz w:val="24"/>
          <w:szCs w:val="24"/>
        </w:rPr>
      </w:pPr>
      <w:r w:rsidRPr="004F6258">
        <w:rPr>
          <w:b/>
          <w:sz w:val="24"/>
          <w:szCs w:val="24"/>
        </w:rPr>
        <w:t>Área de Interesse do Simpósio</w:t>
      </w:r>
      <w:r w:rsidRPr="004F6258">
        <w:rPr>
          <w:sz w:val="24"/>
          <w:szCs w:val="24"/>
        </w:rPr>
        <w:t xml:space="preserve">: </w:t>
      </w:r>
      <w:r w:rsidR="00422D2D">
        <w:rPr>
          <w:sz w:val="24"/>
          <w:szCs w:val="24"/>
        </w:rPr>
        <w:t>Economia Ambiental.</w:t>
      </w:r>
    </w:p>
    <w:p w:rsidR="0012462E" w:rsidRPr="003F6E7F" w:rsidRDefault="0012462E" w:rsidP="0012462E">
      <w:pPr>
        <w:jc w:val="both"/>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A3575E" w:rsidRDefault="00A3575E" w:rsidP="001A706A">
      <w:pPr>
        <w:jc w:val="center"/>
        <w:rPr>
          <w:sz w:val="24"/>
          <w:szCs w:val="28"/>
        </w:rPr>
      </w:pPr>
    </w:p>
    <w:p w:rsidR="001A706A" w:rsidRDefault="001A706A" w:rsidP="001A706A">
      <w:pPr>
        <w:jc w:val="center"/>
        <w:rPr>
          <w:sz w:val="24"/>
          <w:szCs w:val="28"/>
        </w:rPr>
      </w:pPr>
    </w:p>
    <w:p w:rsidR="00A3575E" w:rsidRDefault="00A3575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D56BB" w:rsidRDefault="001D56BB" w:rsidP="0012462E">
      <w:pPr>
        <w:jc w:val="center"/>
        <w:rPr>
          <w:sz w:val="24"/>
          <w:szCs w:val="28"/>
        </w:rPr>
      </w:pPr>
    </w:p>
    <w:p w:rsidR="00D0394C" w:rsidRDefault="00D0394C" w:rsidP="0012462E">
      <w:pPr>
        <w:jc w:val="center"/>
        <w:rPr>
          <w:sz w:val="24"/>
          <w:szCs w:val="28"/>
        </w:rPr>
      </w:pPr>
    </w:p>
    <w:p w:rsidR="00D0394C" w:rsidRDefault="00D0394C" w:rsidP="0012462E">
      <w:pPr>
        <w:jc w:val="center"/>
        <w:rPr>
          <w:sz w:val="24"/>
          <w:szCs w:val="28"/>
        </w:rPr>
      </w:pPr>
    </w:p>
    <w:p w:rsidR="00D0394C" w:rsidRDefault="00D0394C" w:rsidP="0012462E">
      <w:pPr>
        <w:jc w:val="center"/>
        <w:rPr>
          <w:sz w:val="24"/>
          <w:szCs w:val="28"/>
        </w:rPr>
      </w:pPr>
    </w:p>
    <w:p w:rsidR="0012462E" w:rsidRPr="00001E41" w:rsidRDefault="0012462E" w:rsidP="00726C72">
      <w:pPr>
        <w:tabs>
          <w:tab w:val="left" w:pos="1290"/>
        </w:tabs>
        <w:spacing w:line="360" w:lineRule="auto"/>
        <w:jc w:val="both"/>
        <w:rPr>
          <w:color w:val="FF0000"/>
          <w:sz w:val="24"/>
          <w:szCs w:val="28"/>
        </w:rPr>
      </w:pPr>
      <w:r>
        <w:rPr>
          <w:b/>
          <w:sz w:val="24"/>
          <w:szCs w:val="24"/>
        </w:rPr>
        <w:lastRenderedPageBreak/>
        <w:t xml:space="preserve">1. </w:t>
      </w:r>
      <w:r w:rsidRPr="00001E41">
        <w:rPr>
          <w:b/>
          <w:sz w:val="24"/>
          <w:szCs w:val="24"/>
        </w:rPr>
        <w:t xml:space="preserve">INTRODUÇÃO </w:t>
      </w:r>
    </w:p>
    <w:p w:rsidR="00DC5C31" w:rsidRPr="00DC5C31" w:rsidRDefault="00491C0C" w:rsidP="00DC5C31">
      <w:pPr>
        <w:tabs>
          <w:tab w:val="left" w:pos="709"/>
        </w:tabs>
        <w:spacing w:line="360" w:lineRule="auto"/>
        <w:jc w:val="both"/>
        <w:rPr>
          <w:sz w:val="24"/>
          <w:szCs w:val="28"/>
        </w:rPr>
      </w:pPr>
      <w:r>
        <w:rPr>
          <w:sz w:val="24"/>
          <w:szCs w:val="28"/>
        </w:rPr>
        <w:tab/>
      </w:r>
      <w:r w:rsidR="00DC5C31" w:rsidRPr="00DC5C31">
        <w:rPr>
          <w:sz w:val="24"/>
          <w:szCs w:val="28"/>
        </w:rPr>
        <w:t>Por anos, as causas atribuídas para a ocorrência do desmatamento da Amazônia brasileira foram às políticas de integração da região à economia nacional brasileira e à sua defesa contra intervenções internacionais (MARTINS, 2009). Nas últimas décadas, a floresta Amazônica sofreu modificações contínuas, a cobertura florestal sofreu uma importante perda, dada a extensão das terras atingidas. Durante esse período, o estado do Pará teve seu uso do solo enormemente alterado, com redução de biodiversidade, florestal e animal, e de técnicas de cultivos agroflorestais desenvolvidas por diversos grupos sociais em unidades produtivas familiares (CASTRO, 2005).</w:t>
      </w:r>
    </w:p>
    <w:p w:rsidR="00DC5C31" w:rsidRPr="00DC5C31" w:rsidRDefault="00DC5C31" w:rsidP="00DC5C31">
      <w:pPr>
        <w:tabs>
          <w:tab w:val="left" w:pos="709"/>
        </w:tabs>
        <w:spacing w:line="360" w:lineRule="auto"/>
        <w:jc w:val="both"/>
        <w:rPr>
          <w:sz w:val="24"/>
          <w:szCs w:val="28"/>
        </w:rPr>
      </w:pPr>
      <w:r w:rsidRPr="00DC5C31">
        <w:rPr>
          <w:sz w:val="24"/>
          <w:szCs w:val="28"/>
        </w:rPr>
        <w:tab/>
        <w:t xml:space="preserve">O estado do Pará com </w:t>
      </w:r>
      <w:proofErr w:type="gramStart"/>
      <w:r w:rsidRPr="00DC5C31">
        <w:rPr>
          <w:sz w:val="24"/>
          <w:szCs w:val="28"/>
        </w:rPr>
        <w:t>cerca de 1</w:t>
      </w:r>
      <w:r w:rsidR="00946A2D">
        <w:rPr>
          <w:sz w:val="24"/>
          <w:szCs w:val="28"/>
        </w:rPr>
        <w:t>.</w:t>
      </w:r>
      <w:r w:rsidRPr="00DC5C31">
        <w:rPr>
          <w:sz w:val="24"/>
          <w:szCs w:val="28"/>
        </w:rPr>
        <w:t>511</w:t>
      </w:r>
      <w:proofErr w:type="gramEnd"/>
      <w:r w:rsidRPr="00DC5C31">
        <w:rPr>
          <w:sz w:val="24"/>
          <w:szCs w:val="28"/>
        </w:rPr>
        <w:t xml:space="preserve"> km² de área desmatada foi o segundo estado com maior contribuição para o desmatamento em 2013. Na esfera municipal, o município paraense que mais desmatou foi São Félix do Xingu (INPE, 2014). Nos municípios paraenses, o principal determinante do desmatamento é a pecuária (FEARNSIDE, 1988 e 2005 </w:t>
      </w:r>
      <w:proofErr w:type="gramStart"/>
      <w:r w:rsidRPr="00DC5C31">
        <w:rPr>
          <w:sz w:val="24"/>
          <w:szCs w:val="28"/>
        </w:rPr>
        <w:t>et</w:t>
      </w:r>
      <w:proofErr w:type="gramEnd"/>
      <w:r w:rsidRPr="00DC5C31">
        <w:rPr>
          <w:sz w:val="24"/>
          <w:szCs w:val="28"/>
        </w:rPr>
        <w:t xml:space="preserve"> al MARTINS, 2009). </w:t>
      </w:r>
      <w:r w:rsidRPr="00DC5C31">
        <w:rPr>
          <w:sz w:val="24"/>
          <w:szCs w:val="28"/>
        </w:rPr>
        <w:tab/>
        <w:t xml:space="preserve">Itaituba é um município do Estado do Pará, pertencente à mesorregião Sudoeste Paraense e a microrregião de Itaituba (IDESP, 2011). De acordo com os dados do IBGE (2014), o município é o décimo quinto mais populoso do estado e um dos principais centros econômicos do oeste paraense, possui o décimo terceiro maior produto interno bruto no estado e uma das cidades que apresenta acelerado crescimento econômico no interior do Brasil. </w:t>
      </w:r>
    </w:p>
    <w:p w:rsidR="00DC5C31" w:rsidRPr="00DC5C31" w:rsidRDefault="00DC5C31" w:rsidP="00DC5C31">
      <w:pPr>
        <w:tabs>
          <w:tab w:val="left" w:pos="709"/>
        </w:tabs>
        <w:spacing w:line="360" w:lineRule="auto"/>
        <w:jc w:val="both"/>
        <w:rPr>
          <w:sz w:val="24"/>
          <w:szCs w:val="28"/>
        </w:rPr>
      </w:pPr>
      <w:r w:rsidRPr="00DC5C31">
        <w:rPr>
          <w:sz w:val="24"/>
          <w:szCs w:val="28"/>
        </w:rPr>
        <w:tab/>
      </w:r>
      <w:r w:rsidR="006B25BE">
        <w:rPr>
          <w:sz w:val="24"/>
          <w:szCs w:val="28"/>
        </w:rPr>
        <w:t>Segundo</w:t>
      </w:r>
      <w:r w:rsidRPr="00DC5C31">
        <w:rPr>
          <w:sz w:val="24"/>
          <w:szCs w:val="28"/>
        </w:rPr>
        <w:t xml:space="preserve"> o Mi</w:t>
      </w:r>
      <w:r w:rsidR="00BD2E25">
        <w:rPr>
          <w:sz w:val="24"/>
          <w:szCs w:val="28"/>
        </w:rPr>
        <w:t>nistério do Meio Ambiente – MMA</w:t>
      </w:r>
      <w:r w:rsidRPr="00DC5C31">
        <w:rPr>
          <w:sz w:val="24"/>
          <w:szCs w:val="28"/>
        </w:rPr>
        <w:t>, a economia da região próxima de Itaituba é voltada para o setor primário, ou seja, baseada na pecuária, na extração de madeira e na agricultura para abastecimento do mercado local. A agricultura tem forte predomínio, principalmente, de milho, arroz e feijão, da pecuária bovina e da exploração de madeireira. A indústria não apresenta grande expressão na região, concentra-se principalmente no processamento da madeira, em menor escala, de grãos e carne.</w:t>
      </w:r>
    </w:p>
    <w:p w:rsidR="00DC5C31" w:rsidRPr="00DC5C31" w:rsidRDefault="00DC5C31" w:rsidP="00DC5C31">
      <w:pPr>
        <w:tabs>
          <w:tab w:val="left" w:pos="709"/>
        </w:tabs>
        <w:spacing w:line="360" w:lineRule="auto"/>
        <w:jc w:val="both"/>
        <w:rPr>
          <w:sz w:val="24"/>
          <w:szCs w:val="28"/>
        </w:rPr>
      </w:pPr>
      <w:r w:rsidRPr="00DC5C31">
        <w:rPr>
          <w:sz w:val="24"/>
          <w:szCs w:val="28"/>
        </w:rPr>
        <w:tab/>
        <w:t xml:space="preserve">De acordo com os dados sobre o desmatamento, no estado do Pará, apresentados pelo IDESP, no boletim de maio de 2013, do total de desmatamentos registrados no estado, verificou-se que o município de Itaituba desmatou 23,25 km². Ao observar os dados econômicos do mesmo por meio da balança comercial utilizando apenas os dados de exportação, observa-se que a cidade de Itaituba, ao qual apresenta elevadas taxas de desmatamento, possui economia voltada para a </w:t>
      </w:r>
      <w:r w:rsidRPr="00DC5C31">
        <w:rPr>
          <w:sz w:val="24"/>
          <w:szCs w:val="28"/>
        </w:rPr>
        <w:lastRenderedPageBreak/>
        <w:t>produção de madeira. No mês de maio de 2013, a exportação de produtos madeireiros do município de Itaituba foi de US$ 1.332.361,00 (IDESP, 2013).</w:t>
      </w:r>
    </w:p>
    <w:p w:rsidR="00491C0C" w:rsidRDefault="00DC5C31" w:rsidP="00DC5C31">
      <w:pPr>
        <w:tabs>
          <w:tab w:val="left" w:pos="709"/>
        </w:tabs>
        <w:spacing w:line="360" w:lineRule="auto"/>
        <w:jc w:val="both"/>
        <w:rPr>
          <w:sz w:val="24"/>
          <w:szCs w:val="28"/>
        </w:rPr>
      </w:pPr>
      <w:r w:rsidRPr="00DC5C31">
        <w:rPr>
          <w:sz w:val="24"/>
          <w:szCs w:val="28"/>
        </w:rPr>
        <w:tab/>
        <w:t>Nesse sentido, este estudo tem por objetivo caracterizar a dinâmica temporal das taxas de desmatamento, sua espacialização e tendências futuras</w:t>
      </w:r>
      <w:r w:rsidR="00197252">
        <w:rPr>
          <w:sz w:val="24"/>
          <w:szCs w:val="28"/>
        </w:rPr>
        <w:t>,</w:t>
      </w:r>
      <w:r w:rsidRPr="00DC5C31">
        <w:rPr>
          <w:sz w:val="24"/>
          <w:szCs w:val="28"/>
        </w:rPr>
        <w:t xml:space="preserve"> de acordo com as atividades produtivas locais do município de Itaituba-PA, estas análises foram obtidas através de um modelo analítico por meio de dados retirados do software IBM SPSS </w:t>
      </w:r>
      <w:proofErr w:type="spellStart"/>
      <w:r w:rsidRPr="00DC5C31">
        <w:rPr>
          <w:sz w:val="24"/>
          <w:szCs w:val="28"/>
        </w:rPr>
        <w:t>Statics</w:t>
      </w:r>
      <w:proofErr w:type="spellEnd"/>
      <w:r w:rsidRPr="00DC5C31">
        <w:rPr>
          <w:sz w:val="24"/>
          <w:szCs w:val="28"/>
        </w:rPr>
        <w:t xml:space="preserve"> 19.</w:t>
      </w:r>
    </w:p>
    <w:p w:rsidR="0012462E" w:rsidRDefault="0012462E" w:rsidP="00726C72">
      <w:pPr>
        <w:tabs>
          <w:tab w:val="left" w:pos="1290"/>
        </w:tabs>
        <w:spacing w:line="360" w:lineRule="auto"/>
        <w:jc w:val="both"/>
        <w:rPr>
          <w:color w:val="FF0000"/>
          <w:sz w:val="24"/>
          <w:szCs w:val="28"/>
        </w:rPr>
      </w:pPr>
      <w:r>
        <w:rPr>
          <w:b/>
          <w:sz w:val="24"/>
          <w:szCs w:val="24"/>
        </w:rPr>
        <w:t xml:space="preserve">2. </w:t>
      </w:r>
      <w:r w:rsidR="002554F3">
        <w:rPr>
          <w:b/>
          <w:sz w:val="24"/>
          <w:szCs w:val="24"/>
        </w:rPr>
        <w:t>METODOLOGIA</w:t>
      </w:r>
    </w:p>
    <w:p w:rsidR="00420D2D" w:rsidRPr="00420D2D" w:rsidRDefault="00420D2D" w:rsidP="00420D2D">
      <w:pPr>
        <w:spacing w:line="360" w:lineRule="auto"/>
        <w:jc w:val="both"/>
        <w:rPr>
          <w:sz w:val="24"/>
          <w:szCs w:val="24"/>
        </w:rPr>
      </w:pPr>
      <w:r>
        <w:rPr>
          <w:sz w:val="24"/>
          <w:szCs w:val="24"/>
        </w:rPr>
        <w:t>2</w:t>
      </w:r>
      <w:r w:rsidRPr="00420D2D">
        <w:rPr>
          <w:sz w:val="24"/>
          <w:szCs w:val="24"/>
        </w:rPr>
        <w:t>.1</w:t>
      </w:r>
      <w:r>
        <w:rPr>
          <w:sz w:val="24"/>
          <w:szCs w:val="24"/>
        </w:rPr>
        <w:t>.</w:t>
      </w:r>
      <w:r w:rsidRPr="00420D2D">
        <w:rPr>
          <w:sz w:val="24"/>
          <w:szCs w:val="24"/>
        </w:rPr>
        <w:t xml:space="preserve"> OBTENÇÃO DOS DADOS</w:t>
      </w:r>
    </w:p>
    <w:p w:rsidR="00420D2D" w:rsidRPr="00420D2D" w:rsidRDefault="00420D2D" w:rsidP="00420D2D">
      <w:pPr>
        <w:spacing w:line="360" w:lineRule="auto"/>
        <w:ind w:firstLine="709"/>
        <w:jc w:val="both"/>
        <w:rPr>
          <w:sz w:val="24"/>
          <w:szCs w:val="24"/>
        </w:rPr>
      </w:pPr>
      <w:r w:rsidRPr="00420D2D">
        <w:rPr>
          <w:sz w:val="24"/>
          <w:szCs w:val="24"/>
        </w:rPr>
        <w:tab/>
        <w:t xml:space="preserve">Para obter os fatores que influenciam no desmatamento no município de Itaituba foram usados os dados do Sistema IBGE de recuperação automática – SIDRA que contém indicativos acerca da área colhida da lavoura permanente, área plantada da lavoura temporária em hectares e o número efetivo do rebanho bovino por cabeça; </w:t>
      </w:r>
      <w:r w:rsidR="0040069D">
        <w:rPr>
          <w:sz w:val="24"/>
          <w:szCs w:val="24"/>
        </w:rPr>
        <w:t xml:space="preserve">e </w:t>
      </w:r>
      <w:r w:rsidRPr="00420D2D">
        <w:rPr>
          <w:sz w:val="24"/>
          <w:szCs w:val="24"/>
        </w:rPr>
        <w:t>do Projeto de monitoramento do desmatamento da Ama</w:t>
      </w:r>
      <w:r w:rsidR="0040069D">
        <w:rPr>
          <w:sz w:val="24"/>
          <w:szCs w:val="24"/>
        </w:rPr>
        <w:t>zônia Legal – PRODES</w:t>
      </w:r>
      <w:r w:rsidRPr="00420D2D">
        <w:rPr>
          <w:sz w:val="24"/>
          <w:szCs w:val="24"/>
        </w:rPr>
        <w:t xml:space="preserve"> </w:t>
      </w:r>
      <w:r w:rsidR="0040069D">
        <w:rPr>
          <w:sz w:val="24"/>
          <w:szCs w:val="24"/>
        </w:rPr>
        <w:t>que fornece</w:t>
      </w:r>
      <w:r w:rsidRPr="00420D2D">
        <w:rPr>
          <w:sz w:val="24"/>
          <w:szCs w:val="24"/>
        </w:rPr>
        <w:t xml:space="preserve"> a área desmatada em quilômetros</w:t>
      </w:r>
      <w:r w:rsidR="00FE12A7">
        <w:rPr>
          <w:sz w:val="24"/>
          <w:szCs w:val="24"/>
        </w:rPr>
        <w:t xml:space="preserve"> quadrado do município estudado;</w:t>
      </w:r>
      <w:r w:rsidRPr="00420D2D">
        <w:rPr>
          <w:sz w:val="24"/>
          <w:szCs w:val="24"/>
        </w:rPr>
        <w:t xml:space="preserve"> </w:t>
      </w:r>
      <w:r w:rsidR="00FE12A7">
        <w:rPr>
          <w:sz w:val="24"/>
          <w:szCs w:val="24"/>
        </w:rPr>
        <w:t>s</w:t>
      </w:r>
      <w:r w:rsidRPr="00420D2D">
        <w:rPr>
          <w:sz w:val="24"/>
          <w:szCs w:val="24"/>
        </w:rPr>
        <w:t>endo que apenas os dados do período estudado foram extraídos.</w:t>
      </w:r>
    </w:p>
    <w:p w:rsidR="00420D2D" w:rsidRPr="00420D2D" w:rsidRDefault="00420D2D" w:rsidP="00420D2D">
      <w:pPr>
        <w:spacing w:line="360" w:lineRule="auto"/>
        <w:ind w:firstLine="709"/>
        <w:jc w:val="both"/>
        <w:rPr>
          <w:sz w:val="24"/>
          <w:szCs w:val="24"/>
        </w:rPr>
      </w:pPr>
      <w:r w:rsidRPr="00420D2D">
        <w:rPr>
          <w:sz w:val="24"/>
          <w:szCs w:val="24"/>
        </w:rPr>
        <w:tab/>
        <w:t xml:space="preserve">Após a obtenção, os dados são organizados em uma matriz, </w:t>
      </w:r>
      <w:r w:rsidR="00565F79">
        <w:rPr>
          <w:sz w:val="24"/>
          <w:szCs w:val="24"/>
        </w:rPr>
        <w:t>em que</w:t>
      </w:r>
      <w:r w:rsidRPr="00420D2D">
        <w:rPr>
          <w:sz w:val="24"/>
          <w:szCs w:val="24"/>
        </w:rPr>
        <w:t xml:space="preserve"> as linhas indicam o ano e as colunas indicam o fator. Posteriormente, ocorre a seleção dos dados que serão importantes para determinar a equação dos fatores que motivam o desmatamento em Itaituba, dessa maneira os fatores que apresentam valores </w:t>
      </w:r>
      <w:proofErr w:type="gramStart"/>
      <w:r w:rsidRPr="00420D2D">
        <w:rPr>
          <w:sz w:val="24"/>
          <w:szCs w:val="24"/>
        </w:rPr>
        <w:t>0</w:t>
      </w:r>
      <w:proofErr w:type="gramEnd"/>
      <w:r w:rsidRPr="00420D2D">
        <w:rPr>
          <w:sz w:val="24"/>
          <w:szCs w:val="24"/>
        </w:rPr>
        <w:t xml:space="preserve"> (zero) a partir de 1 ano dos 10 estudados são descartados por não apresentar um grau de significância satisfatório para a análise.</w:t>
      </w:r>
    </w:p>
    <w:p w:rsidR="00420D2D" w:rsidRPr="00420D2D" w:rsidRDefault="00420D2D" w:rsidP="00420D2D">
      <w:pPr>
        <w:spacing w:line="360" w:lineRule="auto"/>
        <w:ind w:firstLine="709"/>
        <w:jc w:val="both"/>
        <w:rPr>
          <w:sz w:val="24"/>
          <w:szCs w:val="24"/>
        </w:rPr>
      </w:pPr>
      <w:r w:rsidRPr="00420D2D">
        <w:rPr>
          <w:sz w:val="24"/>
          <w:szCs w:val="24"/>
        </w:rPr>
        <w:tab/>
        <w:t xml:space="preserve">Depois da seleção, as variáveis que foram consideradas importantes para este estudo foram: </w:t>
      </w:r>
      <w:r w:rsidR="00A506A0" w:rsidRPr="00420D2D">
        <w:rPr>
          <w:sz w:val="24"/>
          <w:szCs w:val="24"/>
        </w:rPr>
        <w:t>á</w:t>
      </w:r>
      <w:r w:rsidRPr="00420D2D">
        <w:rPr>
          <w:sz w:val="24"/>
          <w:szCs w:val="24"/>
        </w:rPr>
        <w:t>rea colhida em hectare do abacate, banana, cacau, café, coco-da-baía, laranja, maracujá, tangerina e urucum; área plantada em hectare do abacaxi, arroz, cana-de-açúcar, feijão, mandioca, melancia, milho e tomate; e o numero de cabeças do rebanho bovino.</w:t>
      </w:r>
    </w:p>
    <w:p w:rsidR="00420D2D" w:rsidRPr="00420D2D" w:rsidRDefault="00420D2D" w:rsidP="00420D2D">
      <w:pPr>
        <w:spacing w:line="360" w:lineRule="auto"/>
        <w:jc w:val="both"/>
        <w:rPr>
          <w:sz w:val="24"/>
          <w:szCs w:val="24"/>
        </w:rPr>
      </w:pPr>
      <w:r>
        <w:rPr>
          <w:sz w:val="24"/>
          <w:szCs w:val="24"/>
        </w:rPr>
        <w:t>2</w:t>
      </w:r>
      <w:r w:rsidRPr="00420D2D">
        <w:rPr>
          <w:sz w:val="24"/>
          <w:szCs w:val="24"/>
        </w:rPr>
        <w:t>.2</w:t>
      </w:r>
      <w:r>
        <w:rPr>
          <w:sz w:val="24"/>
          <w:szCs w:val="24"/>
        </w:rPr>
        <w:t>.</w:t>
      </w:r>
      <w:r w:rsidRPr="00420D2D">
        <w:rPr>
          <w:sz w:val="24"/>
          <w:szCs w:val="24"/>
        </w:rPr>
        <w:t xml:space="preserve"> MODELO DE ANÁLISE FATORIAL</w:t>
      </w:r>
    </w:p>
    <w:p w:rsidR="00420D2D" w:rsidRPr="00420D2D" w:rsidRDefault="00420D2D" w:rsidP="00420D2D">
      <w:pPr>
        <w:spacing w:line="360" w:lineRule="auto"/>
        <w:ind w:firstLine="709"/>
        <w:jc w:val="both"/>
        <w:rPr>
          <w:sz w:val="24"/>
          <w:szCs w:val="24"/>
        </w:rPr>
      </w:pPr>
      <w:r w:rsidRPr="00420D2D">
        <w:rPr>
          <w:sz w:val="24"/>
          <w:szCs w:val="24"/>
        </w:rPr>
        <w:t>Ap</w:t>
      </w:r>
      <w:r w:rsidR="004043F9">
        <w:rPr>
          <w:sz w:val="24"/>
          <w:szCs w:val="24"/>
        </w:rPr>
        <w:t>ós a seleção dos</w:t>
      </w:r>
      <w:r w:rsidRPr="00420D2D">
        <w:rPr>
          <w:sz w:val="24"/>
          <w:szCs w:val="24"/>
        </w:rPr>
        <w:t xml:space="preserve"> fatores, estes</w:t>
      </w:r>
      <w:r w:rsidR="004043F9">
        <w:rPr>
          <w:sz w:val="24"/>
          <w:szCs w:val="24"/>
        </w:rPr>
        <w:t xml:space="preserve"> são submetidos ao método da aná</w:t>
      </w:r>
      <w:r w:rsidRPr="00420D2D">
        <w:rPr>
          <w:sz w:val="24"/>
          <w:szCs w:val="24"/>
        </w:rPr>
        <w:t xml:space="preserve">lise fatorial que segundo Costa (2006) é um nome genérico dado a uma classe de métodos estatísticos multivariados cujo principal objetivo é determinar a estrutura subjacente em uma matriz de dados, isto é, a análise fatorial aborda o problema de analisar a estrutura das inter-relações </w:t>
      </w:r>
      <w:r w:rsidRPr="00420D2D">
        <w:rPr>
          <w:sz w:val="24"/>
          <w:szCs w:val="24"/>
        </w:rPr>
        <w:lastRenderedPageBreak/>
        <w:t>(correlações) entr</w:t>
      </w:r>
      <w:r w:rsidR="007E0532">
        <w:rPr>
          <w:sz w:val="24"/>
          <w:szCs w:val="24"/>
        </w:rPr>
        <w:t>e um grande número de variáveis</w:t>
      </w:r>
      <w:r w:rsidRPr="00420D2D">
        <w:rPr>
          <w:sz w:val="24"/>
          <w:szCs w:val="24"/>
        </w:rPr>
        <w:t xml:space="preserve">, definindo um conjunto de dimensões latentes comuns, chamados fatores. </w:t>
      </w:r>
    </w:p>
    <w:p w:rsidR="00420D2D" w:rsidRPr="00420D2D" w:rsidRDefault="00420D2D" w:rsidP="00420D2D">
      <w:pPr>
        <w:spacing w:line="360" w:lineRule="auto"/>
        <w:ind w:firstLine="709"/>
        <w:jc w:val="both"/>
        <w:rPr>
          <w:sz w:val="24"/>
          <w:szCs w:val="24"/>
        </w:rPr>
      </w:pPr>
      <w:r w:rsidRPr="00420D2D">
        <w:rPr>
          <w:sz w:val="24"/>
          <w:szCs w:val="24"/>
        </w:rPr>
        <w:t>Assim, considerando o objetivo proposto no presente artigo, obteve-se primeiramente uma matriz onde as linhas são representadas pelos anos estudados e as colunas pelas atividades que possuem relação com o desmatamento no município estudado. Após a construção da matriz, foram descartados varáveis que não possuíam variância de 2000 a 2010, ou seja, variáveis que apresentaram valores constantes do primeiro ano estudado até o ultimo. As seguintes var</w:t>
      </w:r>
      <w:r w:rsidR="005B2172">
        <w:rPr>
          <w:sz w:val="24"/>
          <w:szCs w:val="24"/>
        </w:rPr>
        <w:t>i</w:t>
      </w:r>
      <w:r w:rsidRPr="00420D2D">
        <w:rPr>
          <w:sz w:val="24"/>
          <w:szCs w:val="24"/>
        </w:rPr>
        <w:t xml:space="preserve">áveis apresentaram essa condição e foram descartadas: </w:t>
      </w:r>
      <w:r w:rsidR="005B2172" w:rsidRPr="00420D2D">
        <w:rPr>
          <w:sz w:val="24"/>
          <w:szCs w:val="24"/>
        </w:rPr>
        <w:t>á</w:t>
      </w:r>
      <w:r w:rsidRPr="00420D2D">
        <w:rPr>
          <w:sz w:val="24"/>
          <w:szCs w:val="24"/>
        </w:rPr>
        <w:t>rea colhida em hectare do abacate, tangeri</w:t>
      </w:r>
      <w:r w:rsidR="0095797F">
        <w:rPr>
          <w:sz w:val="24"/>
          <w:szCs w:val="24"/>
        </w:rPr>
        <w:t>n</w:t>
      </w:r>
      <w:bookmarkStart w:id="0" w:name="_GoBack"/>
      <w:bookmarkEnd w:id="0"/>
      <w:r w:rsidRPr="00420D2D">
        <w:rPr>
          <w:sz w:val="24"/>
          <w:szCs w:val="24"/>
        </w:rPr>
        <w:t>a e urucum.</w:t>
      </w:r>
    </w:p>
    <w:p w:rsidR="00420D2D" w:rsidRPr="00420D2D" w:rsidRDefault="00420D2D" w:rsidP="00420D2D">
      <w:pPr>
        <w:spacing w:line="360" w:lineRule="auto"/>
        <w:ind w:firstLine="709"/>
        <w:jc w:val="both"/>
        <w:rPr>
          <w:sz w:val="24"/>
          <w:szCs w:val="24"/>
        </w:rPr>
      </w:pPr>
      <w:r w:rsidRPr="00420D2D">
        <w:rPr>
          <w:sz w:val="24"/>
          <w:szCs w:val="24"/>
        </w:rPr>
        <w:t xml:space="preserve">Posteriormente, excluindo as variáveis supracitadas, foi computado o cálculo da análise fatorial através do software </w:t>
      </w:r>
      <w:proofErr w:type="spellStart"/>
      <w:r w:rsidRPr="00420D2D">
        <w:rPr>
          <w:sz w:val="24"/>
          <w:szCs w:val="24"/>
        </w:rPr>
        <w:t>Portable</w:t>
      </w:r>
      <w:proofErr w:type="spellEnd"/>
      <w:r w:rsidRPr="00420D2D">
        <w:rPr>
          <w:sz w:val="24"/>
          <w:szCs w:val="24"/>
        </w:rPr>
        <w:t xml:space="preserve"> IBMM SPSS </w:t>
      </w:r>
      <w:proofErr w:type="spellStart"/>
      <w:r w:rsidRPr="00420D2D">
        <w:rPr>
          <w:sz w:val="24"/>
          <w:szCs w:val="24"/>
        </w:rPr>
        <w:t>Statics</w:t>
      </w:r>
      <w:proofErr w:type="spellEnd"/>
      <w:r w:rsidRPr="00420D2D">
        <w:rPr>
          <w:sz w:val="24"/>
          <w:szCs w:val="24"/>
        </w:rPr>
        <w:t xml:space="preserve"> versão 19. Encontrada a matriz de correlação, foram calculados os fatores necessários para representar as variáveis, utilizando-se o método dos componentes principais. </w:t>
      </w:r>
      <w:r w:rsidR="005B2172">
        <w:rPr>
          <w:sz w:val="24"/>
          <w:szCs w:val="24"/>
        </w:rPr>
        <w:t xml:space="preserve">Em </w:t>
      </w:r>
      <w:r w:rsidRPr="00420D2D">
        <w:rPr>
          <w:sz w:val="24"/>
          <w:szCs w:val="24"/>
        </w:rPr>
        <w:t>segui</w:t>
      </w:r>
      <w:r w:rsidR="005B2172">
        <w:rPr>
          <w:sz w:val="24"/>
          <w:szCs w:val="24"/>
        </w:rPr>
        <w:t>da</w:t>
      </w:r>
      <w:r w:rsidRPr="00420D2D">
        <w:rPr>
          <w:sz w:val="24"/>
          <w:szCs w:val="24"/>
        </w:rPr>
        <w:t>, tornou-se necessário determinar o número de fatores considerados, o que pôde ser feito com base no seu autovalor (</w:t>
      </w:r>
      <w:proofErr w:type="spellStart"/>
      <w:r w:rsidRPr="00420D2D">
        <w:rPr>
          <w:sz w:val="24"/>
          <w:szCs w:val="24"/>
        </w:rPr>
        <w:t>eigenvalues</w:t>
      </w:r>
      <w:proofErr w:type="spellEnd"/>
      <w:r w:rsidRPr="00420D2D">
        <w:rPr>
          <w:sz w:val="24"/>
          <w:szCs w:val="24"/>
        </w:rPr>
        <w:t xml:space="preserve">), definido por </w:t>
      </w:r>
      <w:proofErr w:type="spellStart"/>
      <w:r w:rsidRPr="00420D2D">
        <w:rPr>
          <w:sz w:val="24"/>
          <w:szCs w:val="24"/>
        </w:rPr>
        <w:t>Hair</w:t>
      </w:r>
      <w:proofErr w:type="spellEnd"/>
      <w:r w:rsidRPr="00420D2D">
        <w:rPr>
          <w:sz w:val="24"/>
          <w:szCs w:val="24"/>
        </w:rPr>
        <w:t xml:space="preserve"> </w:t>
      </w:r>
      <w:proofErr w:type="gramStart"/>
      <w:r w:rsidRPr="00420D2D">
        <w:rPr>
          <w:sz w:val="24"/>
          <w:szCs w:val="24"/>
        </w:rPr>
        <w:t>et</w:t>
      </w:r>
      <w:proofErr w:type="gramEnd"/>
      <w:r w:rsidRPr="00420D2D">
        <w:rPr>
          <w:sz w:val="24"/>
          <w:szCs w:val="24"/>
        </w:rPr>
        <w:t xml:space="preserve"> al. (1998) como sendo a quantidade de variância associada ao fator.</w:t>
      </w:r>
    </w:p>
    <w:p w:rsidR="00420D2D" w:rsidRPr="00420D2D" w:rsidRDefault="00420D2D" w:rsidP="00420D2D">
      <w:pPr>
        <w:spacing w:line="360" w:lineRule="auto"/>
        <w:ind w:firstLine="709"/>
        <w:jc w:val="both"/>
        <w:rPr>
          <w:sz w:val="24"/>
          <w:szCs w:val="24"/>
        </w:rPr>
      </w:pPr>
      <w:r w:rsidRPr="00420D2D">
        <w:rPr>
          <w:sz w:val="24"/>
          <w:szCs w:val="24"/>
        </w:rPr>
        <w:t xml:space="preserve">Outra ferramenta utilizada para a interpretação dos fatores obtidos com a análise fatorial é a sua rotação, que tem como finalidade segundo Costa (2006) ajudar na interpretação desses fatores. A rotação da matriz é dividia em duas formas de procedimento: a rotação ortogonal (rotação </w:t>
      </w:r>
      <w:proofErr w:type="spellStart"/>
      <w:r w:rsidRPr="00420D2D">
        <w:rPr>
          <w:sz w:val="24"/>
          <w:szCs w:val="24"/>
        </w:rPr>
        <w:t>varimax</w:t>
      </w:r>
      <w:proofErr w:type="spellEnd"/>
      <w:r w:rsidRPr="00420D2D">
        <w:rPr>
          <w:sz w:val="24"/>
          <w:szCs w:val="24"/>
        </w:rPr>
        <w:t>), que mantém os fatores não correlacionados e a rotação oblíqua, que torna os fatores correlacionados entre si. A ideia básica do giro de fatores é identificar alguns fatores que possuam variáveis que tenham alta correlação e outros com variáveis que possuam baixa correlação. Neste trabalho foi uti</w:t>
      </w:r>
      <w:r w:rsidR="00730CF4">
        <w:rPr>
          <w:sz w:val="24"/>
          <w:szCs w:val="24"/>
        </w:rPr>
        <w:t xml:space="preserve">lizada a rotação </w:t>
      </w:r>
      <w:proofErr w:type="spellStart"/>
      <w:r w:rsidR="00730CF4">
        <w:rPr>
          <w:sz w:val="24"/>
          <w:szCs w:val="24"/>
        </w:rPr>
        <w:t>varimax</w:t>
      </w:r>
      <w:proofErr w:type="spellEnd"/>
      <w:r w:rsidR="00730CF4">
        <w:rPr>
          <w:sz w:val="24"/>
          <w:szCs w:val="24"/>
        </w:rPr>
        <w:t>, pois e</w:t>
      </w:r>
      <w:r w:rsidRPr="00420D2D">
        <w:rPr>
          <w:sz w:val="24"/>
          <w:szCs w:val="24"/>
        </w:rPr>
        <w:t>sse método é o mais comumente utilizado e minimiza o número de variáveis, com altas cargas sobre o fator, reforçando a interpretabilidade dos fatores (</w:t>
      </w:r>
      <w:proofErr w:type="gramStart"/>
      <w:r w:rsidRPr="00420D2D">
        <w:rPr>
          <w:sz w:val="24"/>
          <w:szCs w:val="24"/>
        </w:rPr>
        <w:t>PENA, 2011</w:t>
      </w:r>
      <w:proofErr w:type="gramEnd"/>
      <w:r w:rsidRPr="00420D2D">
        <w:rPr>
          <w:sz w:val="24"/>
          <w:szCs w:val="24"/>
        </w:rPr>
        <w:t>).</w:t>
      </w:r>
    </w:p>
    <w:p w:rsidR="00420D2D" w:rsidRPr="00420D2D" w:rsidRDefault="00420D2D" w:rsidP="00420D2D">
      <w:pPr>
        <w:spacing w:line="360" w:lineRule="auto"/>
        <w:jc w:val="both"/>
        <w:rPr>
          <w:sz w:val="24"/>
          <w:szCs w:val="24"/>
        </w:rPr>
      </w:pPr>
      <w:r>
        <w:rPr>
          <w:sz w:val="24"/>
          <w:szCs w:val="24"/>
        </w:rPr>
        <w:t>2</w:t>
      </w:r>
      <w:r w:rsidRPr="00420D2D">
        <w:rPr>
          <w:sz w:val="24"/>
          <w:szCs w:val="24"/>
        </w:rPr>
        <w:t>.3</w:t>
      </w:r>
      <w:r>
        <w:rPr>
          <w:sz w:val="24"/>
          <w:szCs w:val="24"/>
        </w:rPr>
        <w:t>.</w:t>
      </w:r>
      <w:r w:rsidRPr="00420D2D">
        <w:rPr>
          <w:sz w:val="24"/>
          <w:szCs w:val="24"/>
        </w:rPr>
        <w:t xml:space="preserve"> ANÁLISE DE REGRESSÃO LINEAR</w:t>
      </w:r>
    </w:p>
    <w:p w:rsidR="00420D2D" w:rsidRPr="00420D2D" w:rsidRDefault="00420D2D" w:rsidP="00420D2D">
      <w:pPr>
        <w:spacing w:line="360" w:lineRule="auto"/>
        <w:ind w:firstLine="709"/>
        <w:jc w:val="both"/>
        <w:rPr>
          <w:sz w:val="24"/>
          <w:szCs w:val="24"/>
        </w:rPr>
      </w:pPr>
      <w:r w:rsidRPr="00420D2D">
        <w:rPr>
          <w:sz w:val="24"/>
          <w:szCs w:val="24"/>
        </w:rPr>
        <w:t>Após a realização da análise fatorial, são gerados os fatores necessários para representar as variáveis estudadas, esses foram para uma matriz ao qual foi adicionada a área em qu</w:t>
      </w:r>
      <w:r w:rsidR="00730CF4">
        <w:rPr>
          <w:sz w:val="24"/>
          <w:szCs w:val="24"/>
        </w:rPr>
        <w:t>ilômetro quadrado desmatada no m</w:t>
      </w:r>
      <w:r w:rsidRPr="00420D2D">
        <w:rPr>
          <w:sz w:val="24"/>
          <w:szCs w:val="24"/>
        </w:rPr>
        <w:t xml:space="preserve">unicípio de Itaituba no período de 2000 a 2010 com o intuito de determinar a análise de regressão linear que consiste na realização de uma análise estatística com o objetivo de verificar a existência de uma relação funcional entre uma variável dependente com </w:t>
      </w:r>
      <w:r w:rsidRPr="00420D2D">
        <w:rPr>
          <w:sz w:val="24"/>
          <w:szCs w:val="24"/>
        </w:rPr>
        <w:lastRenderedPageBreak/>
        <w:t>uma ou mais variáveis independentes (PETERNELLI, 2007). Em outras palavras consiste na obtenção de uma equação que tenta explicar à variação da variável dependente, no caso do estudo a área desmatada, pela variação dos níveis das variáveis independentes, descritas anteriormente e representadas nessa análise pelos fatores.</w:t>
      </w:r>
    </w:p>
    <w:p w:rsidR="002554F3" w:rsidRDefault="00420D2D" w:rsidP="00420D2D">
      <w:pPr>
        <w:spacing w:line="360" w:lineRule="auto"/>
        <w:ind w:firstLine="709"/>
        <w:jc w:val="both"/>
        <w:rPr>
          <w:sz w:val="24"/>
          <w:szCs w:val="24"/>
        </w:rPr>
      </w:pPr>
      <w:r w:rsidRPr="00420D2D">
        <w:rPr>
          <w:sz w:val="24"/>
          <w:szCs w:val="24"/>
        </w:rPr>
        <w:t>Para a análise de regressão linear foi usado o softw</w:t>
      </w:r>
      <w:r w:rsidR="002F7A5C">
        <w:rPr>
          <w:sz w:val="24"/>
          <w:szCs w:val="24"/>
        </w:rPr>
        <w:t>are Microsoft Office Excel 2007</w:t>
      </w:r>
      <w:r w:rsidRPr="00420D2D">
        <w:rPr>
          <w:sz w:val="24"/>
          <w:szCs w:val="24"/>
        </w:rPr>
        <w:t xml:space="preserve"> e a partir do resultado dessa análise foi obtido os coeficientes que permitem assim a formulação da equação dos fatores que causam desmatamento na Amazônia.</w:t>
      </w:r>
    </w:p>
    <w:p w:rsidR="0012462E" w:rsidRPr="006376C3" w:rsidRDefault="0012462E" w:rsidP="00726C72">
      <w:pPr>
        <w:tabs>
          <w:tab w:val="left" w:pos="1290"/>
        </w:tabs>
        <w:spacing w:line="360" w:lineRule="auto"/>
        <w:jc w:val="both"/>
        <w:rPr>
          <w:color w:val="FF0000"/>
          <w:sz w:val="28"/>
          <w:szCs w:val="28"/>
        </w:rPr>
      </w:pPr>
      <w:r>
        <w:rPr>
          <w:b/>
          <w:sz w:val="24"/>
          <w:szCs w:val="24"/>
        </w:rPr>
        <w:t xml:space="preserve">3. </w:t>
      </w:r>
      <w:r w:rsidRPr="00001E41">
        <w:rPr>
          <w:b/>
          <w:sz w:val="24"/>
          <w:szCs w:val="24"/>
        </w:rPr>
        <w:t>RESULTADOS E DISCUSSÃO</w:t>
      </w:r>
    </w:p>
    <w:p w:rsidR="00425646" w:rsidRPr="00425646" w:rsidRDefault="006376C3" w:rsidP="00EE10D2">
      <w:pPr>
        <w:spacing w:line="360" w:lineRule="auto"/>
        <w:jc w:val="both"/>
        <w:rPr>
          <w:sz w:val="24"/>
          <w:szCs w:val="24"/>
        </w:rPr>
      </w:pPr>
      <w:r w:rsidRPr="006376C3">
        <w:rPr>
          <w:sz w:val="24"/>
          <w:szCs w:val="24"/>
        </w:rPr>
        <w:t>3.1</w:t>
      </w:r>
      <w:r w:rsidR="00726C72">
        <w:rPr>
          <w:sz w:val="24"/>
          <w:szCs w:val="24"/>
        </w:rPr>
        <w:t>.</w:t>
      </w:r>
      <w:r w:rsidR="00EE10D2">
        <w:rPr>
          <w:sz w:val="24"/>
          <w:szCs w:val="24"/>
        </w:rPr>
        <w:t xml:space="preserve"> </w:t>
      </w:r>
      <w:r w:rsidR="00425646" w:rsidRPr="00425646">
        <w:rPr>
          <w:sz w:val="24"/>
          <w:szCs w:val="24"/>
        </w:rPr>
        <w:t>PRINCIPAIS DISCUSSÕES SOBRE DESFLORESTAMENTO</w:t>
      </w:r>
    </w:p>
    <w:p w:rsidR="00425646" w:rsidRPr="00425646" w:rsidRDefault="00425646" w:rsidP="00425646">
      <w:pPr>
        <w:spacing w:line="360" w:lineRule="auto"/>
        <w:ind w:firstLine="708"/>
        <w:jc w:val="both"/>
        <w:rPr>
          <w:sz w:val="24"/>
          <w:szCs w:val="24"/>
        </w:rPr>
      </w:pPr>
      <w:r w:rsidRPr="00425646">
        <w:rPr>
          <w:sz w:val="24"/>
          <w:szCs w:val="24"/>
        </w:rPr>
        <w:t xml:space="preserve">Nesta seção, objetiva-se analisar os resultados de estudos que explicam as causas do desmatamento oriundas das atividades econômicas de maior influência no município de Itaituba. Entre as varáveis que mais influenciam e determinam o desmatamento na cidade estão: agricultura e pecuária. </w:t>
      </w:r>
    </w:p>
    <w:p w:rsidR="00425646" w:rsidRPr="00E1274A" w:rsidRDefault="00EE10D2" w:rsidP="00EE10D2">
      <w:pPr>
        <w:spacing w:line="360" w:lineRule="auto"/>
        <w:jc w:val="both"/>
        <w:rPr>
          <w:b/>
          <w:sz w:val="24"/>
          <w:szCs w:val="24"/>
        </w:rPr>
      </w:pPr>
      <w:r w:rsidRPr="00E1274A">
        <w:rPr>
          <w:b/>
          <w:sz w:val="24"/>
          <w:szCs w:val="24"/>
        </w:rPr>
        <w:t>3</w:t>
      </w:r>
      <w:r w:rsidR="00425646" w:rsidRPr="00E1274A">
        <w:rPr>
          <w:b/>
          <w:sz w:val="24"/>
          <w:szCs w:val="24"/>
        </w:rPr>
        <w:t>.1</w:t>
      </w:r>
      <w:r w:rsidRPr="00E1274A">
        <w:rPr>
          <w:b/>
          <w:sz w:val="24"/>
          <w:szCs w:val="24"/>
        </w:rPr>
        <w:t>.1.</w:t>
      </w:r>
      <w:r w:rsidR="00425646" w:rsidRPr="00E1274A">
        <w:rPr>
          <w:b/>
          <w:sz w:val="24"/>
          <w:szCs w:val="24"/>
        </w:rPr>
        <w:t xml:space="preserve"> Fator Agricultura</w:t>
      </w:r>
    </w:p>
    <w:p w:rsidR="00425646" w:rsidRPr="00425646" w:rsidRDefault="00425646" w:rsidP="00425646">
      <w:pPr>
        <w:spacing w:line="360" w:lineRule="auto"/>
        <w:ind w:firstLine="708"/>
        <w:jc w:val="both"/>
        <w:rPr>
          <w:sz w:val="24"/>
          <w:szCs w:val="24"/>
        </w:rPr>
      </w:pPr>
      <w:r w:rsidRPr="00425646">
        <w:rPr>
          <w:sz w:val="24"/>
          <w:szCs w:val="24"/>
        </w:rPr>
        <w:t xml:space="preserve">A expansão da agricultura é a principal causa de desmatamento das florestas tropicais, que se destacam pela disponibilidade de vantagens, como os serviços disponibilizados pelos ecossistemas, como produção de alimentos, armazenamento de carbono e conservação da biodiversidade, processos estes afetado pelas mudanças na cobertura da terra (MORTON, </w:t>
      </w:r>
      <w:proofErr w:type="gramStart"/>
      <w:r w:rsidRPr="00425646">
        <w:rPr>
          <w:sz w:val="24"/>
          <w:szCs w:val="24"/>
        </w:rPr>
        <w:t>et</w:t>
      </w:r>
      <w:proofErr w:type="gramEnd"/>
      <w:r w:rsidRPr="00425646">
        <w:rPr>
          <w:sz w:val="24"/>
          <w:szCs w:val="24"/>
        </w:rPr>
        <w:t xml:space="preserve"> al., 2008), ocorrendo um avanço motivado pela facilidade de crédito, propiciada por incentivos fiscais (PENA 2005 apud PENA 2011).</w:t>
      </w:r>
    </w:p>
    <w:p w:rsidR="00425646" w:rsidRPr="00425646" w:rsidRDefault="00425646" w:rsidP="00425646">
      <w:pPr>
        <w:spacing w:line="360" w:lineRule="auto"/>
        <w:ind w:firstLine="708"/>
        <w:jc w:val="both"/>
        <w:rPr>
          <w:sz w:val="24"/>
          <w:szCs w:val="24"/>
        </w:rPr>
      </w:pPr>
      <w:r w:rsidRPr="00425646">
        <w:rPr>
          <w:sz w:val="24"/>
          <w:szCs w:val="24"/>
        </w:rPr>
        <w:t xml:space="preserve">Em Itaituba, a agricultura é um forte fator para o desmatamento na região, visto que essa é uma das principais atividades econômicas da cidade. De acordo com </w:t>
      </w:r>
      <w:proofErr w:type="gramStart"/>
      <w:r w:rsidRPr="00425646">
        <w:rPr>
          <w:sz w:val="24"/>
          <w:szCs w:val="24"/>
        </w:rPr>
        <w:t>o SIDRA (2014)</w:t>
      </w:r>
      <w:proofErr w:type="gramEnd"/>
      <w:r w:rsidRPr="00425646">
        <w:rPr>
          <w:sz w:val="24"/>
          <w:szCs w:val="24"/>
        </w:rPr>
        <w:t>, as culturas de maior influência nessa região são de arroz, milho e feijão ocupando uma área de 11400 hectares.</w:t>
      </w:r>
    </w:p>
    <w:p w:rsidR="00425646" w:rsidRPr="00E1274A" w:rsidRDefault="00EE10D2" w:rsidP="00EE10D2">
      <w:pPr>
        <w:spacing w:line="360" w:lineRule="auto"/>
        <w:jc w:val="both"/>
        <w:rPr>
          <w:b/>
          <w:sz w:val="24"/>
          <w:szCs w:val="24"/>
        </w:rPr>
      </w:pPr>
      <w:r w:rsidRPr="00E1274A">
        <w:rPr>
          <w:b/>
          <w:sz w:val="24"/>
          <w:szCs w:val="24"/>
        </w:rPr>
        <w:t>3.1</w:t>
      </w:r>
      <w:r w:rsidR="00425646" w:rsidRPr="00E1274A">
        <w:rPr>
          <w:b/>
          <w:sz w:val="24"/>
          <w:szCs w:val="24"/>
        </w:rPr>
        <w:t>.2</w:t>
      </w:r>
      <w:r w:rsidRPr="00E1274A">
        <w:rPr>
          <w:b/>
          <w:sz w:val="24"/>
          <w:szCs w:val="24"/>
        </w:rPr>
        <w:t>.</w:t>
      </w:r>
      <w:r w:rsidR="00425646" w:rsidRPr="00E1274A">
        <w:rPr>
          <w:b/>
          <w:sz w:val="24"/>
          <w:szCs w:val="24"/>
        </w:rPr>
        <w:t xml:space="preserve"> </w:t>
      </w:r>
      <w:proofErr w:type="gramStart"/>
      <w:r w:rsidR="00425646" w:rsidRPr="00E1274A">
        <w:rPr>
          <w:b/>
          <w:sz w:val="24"/>
          <w:szCs w:val="24"/>
        </w:rPr>
        <w:t>Fator Pecuária</w:t>
      </w:r>
      <w:proofErr w:type="gramEnd"/>
    </w:p>
    <w:p w:rsidR="00425646" w:rsidRPr="00425646" w:rsidRDefault="00425646" w:rsidP="00425646">
      <w:pPr>
        <w:spacing w:line="360" w:lineRule="auto"/>
        <w:ind w:firstLine="708"/>
        <w:jc w:val="both"/>
        <w:rPr>
          <w:sz w:val="24"/>
          <w:szCs w:val="24"/>
        </w:rPr>
      </w:pPr>
      <w:r w:rsidRPr="00425646">
        <w:rPr>
          <w:sz w:val="24"/>
          <w:szCs w:val="24"/>
        </w:rPr>
        <w:t xml:space="preserve">O desmatamento na Amazônia brasileira tem como principais causas diretas a pecuária, a agricultura de larga escala e a agricultura de corte e queima. Dessas causas, a expansão da pecuária bovina é a mais importante (RIVERO </w:t>
      </w:r>
      <w:proofErr w:type="gramStart"/>
      <w:r w:rsidRPr="00425646">
        <w:rPr>
          <w:sz w:val="24"/>
          <w:szCs w:val="24"/>
        </w:rPr>
        <w:t>et</w:t>
      </w:r>
      <w:proofErr w:type="gramEnd"/>
      <w:r w:rsidRPr="00425646">
        <w:rPr>
          <w:sz w:val="24"/>
          <w:szCs w:val="24"/>
        </w:rPr>
        <w:t xml:space="preserve"> al, 2009), fato este que pode ser confirmado através de uma maior rentabilidade da pecuária na região amazônica, do ponto de vista privado, através de taxas de retorno superiores ás da pecuária em outras regiões do país (PENA, 2011).</w:t>
      </w:r>
    </w:p>
    <w:p w:rsidR="00425646" w:rsidRPr="00425646" w:rsidRDefault="00425646" w:rsidP="00425646">
      <w:pPr>
        <w:spacing w:line="360" w:lineRule="auto"/>
        <w:ind w:firstLine="708"/>
        <w:jc w:val="both"/>
        <w:rPr>
          <w:sz w:val="24"/>
          <w:szCs w:val="24"/>
        </w:rPr>
      </w:pPr>
      <w:r w:rsidRPr="00425646">
        <w:rPr>
          <w:sz w:val="24"/>
          <w:szCs w:val="24"/>
        </w:rPr>
        <w:lastRenderedPageBreak/>
        <w:t>Segundo Rodrigues (2004), a pecuária como atividade dominante e de maior expansão na Amazônia acarreta consequências diretas no desflorestamento, uma vez que a pecuária extensiva, com baixo nível tecnológico, tem a sua produção aumentada baseada mais na expansão de áreas desflorestadas e menos no aumento da produtividade.</w:t>
      </w:r>
    </w:p>
    <w:p w:rsidR="00726C72" w:rsidRDefault="00425646" w:rsidP="00425646">
      <w:pPr>
        <w:spacing w:line="360" w:lineRule="auto"/>
        <w:ind w:firstLine="708"/>
        <w:jc w:val="both"/>
        <w:rPr>
          <w:sz w:val="24"/>
          <w:szCs w:val="24"/>
        </w:rPr>
      </w:pPr>
      <w:r w:rsidRPr="00425646">
        <w:rPr>
          <w:sz w:val="24"/>
          <w:szCs w:val="24"/>
        </w:rPr>
        <w:t xml:space="preserve">Em Itaituba, a pecuária é um forte fator para o desmatamento na região, visto que essa é uma das principais atividades econômicas da cidade. Segundo o IBGE (2012), em análise realizada entre os anos de 2000 </w:t>
      </w:r>
      <w:r w:rsidR="000B3AD5" w:rsidRPr="00425646">
        <w:rPr>
          <w:sz w:val="24"/>
          <w:szCs w:val="24"/>
        </w:rPr>
        <w:t>a</w:t>
      </w:r>
      <w:r w:rsidRPr="00425646">
        <w:rPr>
          <w:sz w:val="24"/>
          <w:szCs w:val="24"/>
        </w:rPr>
        <w:t xml:space="preserve"> 2012, mostra que o efetivo rebanho (cabeças) bovino apresentou um crescimento de, aproximadamente, 54%. Dessa forma, os dados mostram que a pecuária teve um efetivo avanço na região e consequentemente, o aumento da pastagem no território e o aumento do desmatamento (LE MOAL, 2007).</w:t>
      </w:r>
    </w:p>
    <w:p w:rsidR="006376C3" w:rsidRPr="006376C3" w:rsidRDefault="00726C72" w:rsidP="00726C72">
      <w:pPr>
        <w:spacing w:line="360" w:lineRule="auto"/>
        <w:jc w:val="both"/>
        <w:rPr>
          <w:sz w:val="24"/>
          <w:szCs w:val="24"/>
        </w:rPr>
      </w:pPr>
      <w:r w:rsidRPr="006376C3">
        <w:rPr>
          <w:sz w:val="24"/>
          <w:szCs w:val="24"/>
        </w:rPr>
        <w:t>3.2</w:t>
      </w:r>
      <w:r>
        <w:rPr>
          <w:sz w:val="24"/>
          <w:szCs w:val="24"/>
        </w:rPr>
        <w:t>.</w:t>
      </w:r>
      <w:r w:rsidRPr="006376C3">
        <w:rPr>
          <w:sz w:val="24"/>
          <w:szCs w:val="24"/>
        </w:rPr>
        <w:t xml:space="preserve"> TRATAMENTO DE DADOS</w:t>
      </w:r>
    </w:p>
    <w:p w:rsidR="00C63569" w:rsidRPr="00E1274A" w:rsidRDefault="00C63569" w:rsidP="00C63569">
      <w:pPr>
        <w:tabs>
          <w:tab w:val="left" w:pos="1290"/>
        </w:tabs>
        <w:spacing w:line="360" w:lineRule="auto"/>
        <w:jc w:val="both"/>
        <w:rPr>
          <w:b/>
          <w:sz w:val="24"/>
          <w:szCs w:val="24"/>
        </w:rPr>
      </w:pPr>
      <w:r w:rsidRPr="00E1274A">
        <w:rPr>
          <w:b/>
          <w:sz w:val="24"/>
          <w:szCs w:val="24"/>
        </w:rPr>
        <w:t>3.2.1 Análise Estatística</w:t>
      </w:r>
    </w:p>
    <w:p w:rsidR="00C63569" w:rsidRDefault="00C63569" w:rsidP="00C63569">
      <w:pPr>
        <w:tabs>
          <w:tab w:val="left" w:pos="709"/>
        </w:tabs>
        <w:spacing w:line="360" w:lineRule="auto"/>
        <w:jc w:val="both"/>
        <w:rPr>
          <w:sz w:val="24"/>
          <w:szCs w:val="24"/>
        </w:rPr>
      </w:pPr>
      <w:r w:rsidRPr="00C63569">
        <w:rPr>
          <w:sz w:val="24"/>
          <w:szCs w:val="24"/>
        </w:rPr>
        <w:tab/>
        <w:t>De acordo com Costa (2006), para comprovar a adequacidade da análise fatorial, isto é, o quanto uma análise fatorial é adequada se utiliza o índice de Kaiser-Meyer-</w:t>
      </w:r>
      <w:proofErr w:type="spellStart"/>
      <w:r w:rsidRPr="00C63569">
        <w:rPr>
          <w:sz w:val="24"/>
          <w:szCs w:val="24"/>
        </w:rPr>
        <w:t>Olkin</w:t>
      </w:r>
      <w:proofErr w:type="spellEnd"/>
      <w:r w:rsidRPr="00C63569">
        <w:rPr>
          <w:sz w:val="24"/>
          <w:szCs w:val="24"/>
        </w:rPr>
        <w:t xml:space="preserve"> (KMO), onde que valores altos (entre 0,5 e 1,0) indicam que a análise fatorial é apropriada, enquanto valores abaixo de 0,5 indicam que a análi</w:t>
      </w:r>
      <w:r>
        <w:rPr>
          <w:sz w:val="24"/>
          <w:szCs w:val="24"/>
        </w:rPr>
        <w:t xml:space="preserve">se fatorial pode ser </w:t>
      </w:r>
      <w:proofErr w:type="gramStart"/>
      <w:r>
        <w:rPr>
          <w:sz w:val="24"/>
          <w:szCs w:val="24"/>
        </w:rPr>
        <w:t>inadequada</w:t>
      </w:r>
      <w:proofErr w:type="gramEnd"/>
    </w:p>
    <w:p w:rsidR="00C63569" w:rsidRPr="00C63569" w:rsidRDefault="00C63569" w:rsidP="00C63569">
      <w:pPr>
        <w:tabs>
          <w:tab w:val="left" w:pos="709"/>
        </w:tabs>
        <w:spacing w:line="360" w:lineRule="auto"/>
        <w:ind w:firstLine="709"/>
        <w:jc w:val="both"/>
        <w:rPr>
          <w:sz w:val="24"/>
          <w:szCs w:val="24"/>
        </w:rPr>
      </w:pPr>
      <w:r w:rsidRPr="00C63569">
        <w:rPr>
          <w:sz w:val="24"/>
          <w:szCs w:val="24"/>
        </w:rPr>
        <w:t>Neste estudo o KMO se deu na ordem de 0,659, informando que o conjunto de dados utilizados foi mais do que suficiente para a utilização do modelo fatorial, comprovando assim sua adequação.</w:t>
      </w:r>
    </w:p>
    <w:p w:rsidR="00C63569" w:rsidRPr="00E1274A" w:rsidRDefault="00F75762" w:rsidP="00C63569">
      <w:pPr>
        <w:tabs>
          <w:tab w:val="left" w:pos="1290"/>
        </w:tabs>
        <w:spacing w:line="360" w:lineRule="auto"/>
        <w:jc w:val="both"/>
        <w:rPr>
          <w:b/>
          <w:sz w:val="24"/>
          <w:szCs w:val="24"/>
        </w:rPr>
      </w:pPr>
      <w:r w:rsidRPr="00E1274A">
        <w:rPr>
          <w:b/>
          <w:sz w:val="24"/>
          <w:szCs w:val="24"/>
        </w:rPr>
        <w:t>3</w:t>
      </w:r>
      <w:r w:rsidR="00C63569" w:rsidRPr="00E1274A">
        <w:rPr>
          <w:b/>
          <w:sz w:val="24"/>
          <w:szCs w:val="24"/>
        </w:rPr>
        <w:t>.2.</w:t>
      </w:r>
      <w:r w:rsidRPr="00E1274A">
        <w:rPr>
          <w:b/>
          <w:sz w:val="24"/>
          <w:szCs w:val="24"/>
        </w:rPr>
        <w:t>2.</w:t>
      </w:r>
      <w:r w:rsidR="00C63569" w:rsidRPr="00E1274A">
        <w:rPr>
          <w:b/>
          <w:sz w:val="24"/>
          <w:szCs w:val="24"/>
        </w:rPr>
        <w:t xml:space="preserve"> O método da extração de fatores</w:t>
      </w:r>
    </w:p>
    <w:p w:rsidR="00555769" w:rsidRDefault="00C63569" w:rsidP="008F2DE0">
      <w:pPr>
        <w:tabs>
          <w:tab w:val="left" w:pos="1290"/>
        </w:tabs>
        <w:spacing w:line="360" w:lineRule="auto"/>
        <w:ind w:firstLine="709"/>
        <w:jc w:val="both"/>
        <w:rPr>
          <w:sz w:val="24"/>
          <w:szCs w:val="24"/>
        </w:rPr>
      </w:pPr>
      <w:r w:rsidRPr="00C63569">
        <w:rPr>
          <w:sz w:val="24"/>
          <w:szCs w:val="24"/>
        </w:rPr>
        <w:t xml:space="preserve">O modelo de raiz latente foi empregado para definir os fatores subjacentes que explicam o fenômeno do desflorestamento em Itaituba. Inicialmente foram utilizadas 18 variáveis para 10 casos, referente aos anos estudados, e em função de reduzida explicação ou baixo índice de correlação identificado este número foi reduzido para </w:t>
      </w:r>
      <w:proofErr w:type="gramStart"/>
      <w:r w:rsidRPr="00C63569">
        <w:rPr>
          <w:sz w:val="24"/>
          <w:szCs w:val="24"/>
        </w:rPr>
        <w:t>7</w:t>
      </w:r>
      <w:proofErr w:type="gramEnd"/>
      <w:r w:rsidRPr="00C63569">
        <w:rPr>
          <w:sz w:val="24"/>
          <w:szCs w:val="24"/>
        </w:rPr>
        <w:t xml:space="preserve"> variáveis.</w:t>
      </w:r>
    </w:p>
    <w:p w:rsidR="001821E8" w:rsidRPr="001821E8" w:rsidRDefault="001821E8" w:rsidP="008F4736">
      <w:pPr>
        <w:keepNext/>
        <w:widowControl w:val="0"/>
        <w:suppressAutoHyphens/>
        <w:jc w:val="center"/>
        <w:rPr>
          <w:sz w:val="22"/>
          <w:szCs w:val="24"/>
        </w:rPr>
      </w:pPr>
      <w:r w:rsidRPr="001821E8">
        <w:rPr>
          <w:rFonts w:eastAsia="Lucida Sans Unicode"/>
          <w:bCs/>
          <w:kern w:val="1"/>
          <w:sz w:val="22"/>
          <w:szCs w:val="24"/>
        </w:rPr>
        <w:t xml:space="preserve">Tabela </w:t>
      </w:r>
      <w:r w:rsidRPr="001821E8">
        <w:rPr>
          <w:rFonts w:eastAsia="Lucida Sans Unicode"/>
          <w:bCs/>
          <w:kern w:val="1"/>
          <w:sz w:val="22"/>
          <w:szCs w:val="24"/>
        </w:rPr>
        <w:fldChar w:fldCharType="begin"/>
      </w:r>
      <w:r w:rsidRPr="001821E8">
        <w:rPr>
          <w:rFonts w:eastAsia="Lucida Sans Unicode"/>
          <w:bCs/>
          <w:kern w:val="1"/>
          <w:sz w:val="22"/>
          <w:szCs w:val="24"/>
        </w:rPr>
        <w:instrText xml:space="preserve"> SEQ Tabela \* ARABIC </w:instrText>
      </w:r>
      <w:r w:rsidRPr="001821E8">
        <w:rPr>
          <w:rFonts w:eastAsia="Lucida Sans Unicode"/>
          <w:bCs/>
          <w:kern w:val="1"/>
          <w:sz w:val="22"/>
          <w:szCs w:val="24"/>
        </w:rPr>
        <w:fldChar w:fldCharType="separate"/>
      </w:r>
      <w:r w:rsidRPr="001821E8">
        <w:rPr>
          <w:rFonts w:eastAsia="Lucida Sans Unicode"/>
          <w:bCs/>
          <w:noProof/>
          <w:kern w:val="1"/>
          <w:sz w:val="22"/>
          <w:szCs w:val="24"/>
        </w:rPr>
        <w:t>1</w:t>
      </w:r>
      <w:r w:rsidRPr="001821E8">
        <w:rPr>
          <w:rFonts w:eastAsia="Lucida Sans Unicode"/>
          <w:bCs/>
          <w:kern w:val="1"/>
          <w:sz w:val="22"/>
          <w:szCs w:val="24"/>
        </w:rPr>
        <w:fldChar w:fldCharType="end"/>
      </w:r>
      <w:r w:rsidRPr="001821E8">
        <w:rPr>
          <w:rFonts w:eastAsia="Lucida Sans Unicode"/>
          <w:bCs/>
          <w:kern w:val="1"/>
          <w:sz w:val="22"/>
          <w:szCs w:val="24"/>
        </w:rPr>
        <w:t xml:space="preserve"> – Variância Total Explicada</w:t>
      </w:r>
    </w:p>
    <w:tbl>
      <w:tblPr>
        <w:tblW w:w="6907" w:type="dxa"/>
        <w:jc w:val="center"/>
        <w:tblInd w:w="-2131" w:type="dxa"/>
        <w:tblCellMar>
          <w:left w:w="70" w:type="dxa"/>
          <w:right w:w="70" w:type="dxa"/>
        </w:tblCellMar>
        <w:tblLook w:val="04A0" w:firstRow="1" w:lastRow="0" w:firstColumn="1" w:lastColumn="0" w:noHBand="0" w:noVBand="1"/>
      </w:tblPr>
      <w:tblGrid>
        <w:gridCol w:w="3117"/>
        <w:gridCol w:w="993"/>
        <w:gridCol w:w="1279"/>
        <w:gridCol w:w="1518"/>
      </w:tblGrid>
      <w:tr w:rsidR="001821E8" w:rsidRPr="001821E8" w:rsidTr="00AF4B5B">
        <w:trPr>
          <w:trHeight w:val="298"/>
          <w:jc w:val="center"/>
        </w:trPr>
        <w:tc>
          <w:tcPr>
            <w:tcW w:w="3117" w:type="dxa"/>
            <w:vMerge w:val="restart"/>
            <w:tcBorders>
              <w:top w:val="single" w:sz="8" w:space="0" w:color="000000"/>
              <w:bottom w:val="single" w:sz="8" w:space="0" w:color="000000"/>
              <w:right w:val="single" w:sz="8" w:space="0" w:color="000000"/>
            </w:tcBorders>
            <w:shd w:val="clear" w:color="auto" w:fill="auto"/>
            <w:vAlign w:val="center"/>
            <w:hideMark/>
          </w:tcPr>
          <w:p w:rsidR="001821E8" w:rsidRPr="001821E8" w:rsidRDefault="001821E8" w:rsidP="006C53B8">
            <w:pPr>
              <w:spacing w:after="120"/>
              <w:jc w:val="center"/>
              <w:rPr>
                <w:color w:val="000000"/>
                <w:sz w:val="24"/>
                <w:szCs w:val="24"/>
              </w:rPr>
            </w:pPr>
            <w:r w:rsidRPr="001821E8">
              <w:rPr>
                <w:color w:val="000000"/>
                <w:sz w:val="24"/>
                <w:szCs w:val="24"/>
              </w:rPr>
              <w:t>Fatores</w:t>
            </w:r>
          </w:p>
        </w:tc>
        <w:tc>
          <w:tcPr>
            <w:tcW w:w="3790" w:type="dxa"/>
            <w:gridSpan w:val="3"/>
            <w:tcBorders>
              <w:top w:val="single" w:sz="8" w:space="0" w:color="000000"/>
              <w:left w:val="single" w:sz="4" w:space="0" w:color="000000"/>
              <w:bottom w:val="single" w:sz="4" w:space="0" w:color="auto"/>
            </w:tcBorders>
            <w:shd w:val="clear" w:color="auto" w:fill="auto"/>
            <w:vAlign w:val="center"/>
            <w:hideMark/>
          </w:tcPr>
          <w:p w:rsidR="001821E8" w:rsidRPr="001821E8" w:rsidRDefault="001821E8" w:rsidP="006C53B8">
            <w:pPr>
              <w:spacing w:after="120"/>
              <w:jc w:val="center"/>
              <w:rPr>
                <w:color w:val="000000"/>
                <w:sz w:val="24"/>
                <w:szCs w:val="24"/>
                <w:lang w:val="en-US"/>
              </w:rPr>
            </w:pPr>
            <w:r w:rsidRPr="001821E8">
              <w:rPr>
                <w:color w:val="000000"/>
                <w:sz w:val="24"/>
                <w:szCs w:val="24"/>
                <w:lang w:val="en-US"/>
              </w:rPr>
              <w:t>Rotation Sums of Squared Loadings</w:t>
            </w:r>
          </w:p>
        </w:tc>
      </w:tr>
      <w:tr w:rsidR="001821E8" w:rsidRPr="001821E8" w:rsidTr="00AF4B5B">
        <w:trPr>
          <w:trHeight w:val="304"/>
          <w:jc w:val="center"/>
        </w:trPr>
        <w:tc>
          <w:tcPr>
            <w:tcW w:w="3117" w:type="dxa"/>
            <w:vMerge/>
            <w:tcBorders>
              <w:top w:val="single" w:sz="8" w:space="0" w:color="000000"/>
              <w:bottom w:val="single" w:sz="8" w:space="0" w:color="000000"/>
              <w:right w:val="single" w:sz="8" w:space="0" w:color="000000"/>
            </w:tcBorders>
            <w:vAlign w:val="center"/>
            <w:hideMark/>
          </w:tcPr>
          <w:p w:rsidR="001821E8" w:rsidRPr="001821E8" w:rsidRDefault="001821E8" w:rsidP="006C53B8">
            <w:pPr>
              <w:spacing w:after="120"/>
              <w:jc w:val="center"/>
              <w:rPr>
                <w:color w:val="000000"/>
                <w:sz w:val="24"/>
                <w:szCs w:val="24"/>
                <w:lang w:val="en-US"/>
              </w:rPr>
            </w:pPr>
          </w:p>
        </w:tc>
        <w:tc>
          <w:tcPr>
            <w:tcW w:w="993" w:type="dxa"/>
            <w:tcBorders>
              <w:top w:val="single" w:sz="4" w:space="0" w:color="auto"/>
              <w:left w:val="single" w:sz="4" w:space="0" w:color="000000"/>
              <w:bottom w:val="single" w:sz="8" w:space="0" w:color="000000"/>
              <w:right w:val="single" w:sz="4" w:space="0" w:color="000000"/>
            </w:tcBorders>
            <w:shd w:val="clear" w:color="auto" w:fill="auto"/>
            <w:vAlign w:val="center"/>
            <w:hideMark/>
          </w:tcPr>
          <w:p w:rsidR="001821E8" w:rsidRPr="001821E8" w:rsidRDefault="001821E8" w:rsidP="006C53B8">
            <w:pPr>
              <w:spacing w:after="120"/>
              <w:jc w:val="center"/>
              <w:rPr>
                <w:color w:val="000000"/>
                <w:sz w:val="24"/>
                <w:szCs w:val="24"/>
              </w:rPr>
            </w:pPr>
            <w:r w:rsidRPr="001821E8">
              <w:rPr>
                <w:color w:val="000000"/>
                <w:sz w:val="24"/>
                <w:szCs w:val="24"/>
              </w:rPr>
              <w:t>Total</w:t>
            </w:r>
          </w:p>
        </w:tc>
        <w:tc>
          <w:tcPr>
            <w:tcW w:w="1279" w:type="dxa"/>
            <w:tcBorders>
              <w:top w:val="single" w:sz="4" w:space="0" w:color="auto"/>
              <w:left w:val="nil"/>
              <w:bottom w:val="single" w:sz="8" w:space="0" w:color="000000"/>
              <w:right w:val="single" w:sz="4" w:space="0" w:color="000000"/>
            </w:tcBorders>
            <w:shd w:val="clear" w:color="auto" w:fill="auto"/>
            <w:vAlign w:val="center"/>
            <w:hideMark/>
          </w:tcPr>
          <w:p w:rsidR="001821E8" w:rsidRPr="001821E8" w:rsidRDefault="001821E8" w:rsidP="006C53B8">
            <w:pPr>
              <w:spacing w:after="120"/>
              <w:jc w:val="center"/>
              <w:rPr>
                <w:color w:val="000000"/>
                <w:sz w:val="24"/>
                <w:szCs w:val="24"/>
              </w:rPr>
            </w:pPr>
            <w:r w:rsidRPr="001821E8">
              <w:rPr>
                <w:color w:val="000000"/>
                <w:sz w:val="24"/>
                <w:szCs w:val="24"/>
              </w:rPr>
              <w:t>Variância</w:t>
            </w:r>
          </w:p>
        </w:tc>
        <w:tc>
          <w:tcPr>
            <w:tcW w:w="1518" w:type="dxa"/>
            <w:tcBorders>
              <w:top w:val="single" w:sz="4" w:space="0" w:color="auto"/>
              <w:left w:val="nil"/>
              <w:bottom w:val="single" w:sz="8" w:space="0" w:color="000000"/>
            </w:tcBorders>
            <w:shd w:val="clear" w:color="auto" w:fill="auto"/>
            <w:vAlign w:val="center"/>
            <w:hideMark/>
          </w:tcPr>
          <w:p w:rsidR="001821E8" w:rsidRPr="001821E8" w:rsidRDefault="001821E8" w:rsidP="006C53B8">
            <w:pPr>
              <w:spacing w:after="120"/>
              <w:jc w:val="center"/>
              <w:rPr>
                <w:color w:val="000000"/>
                <w:sz w:val="24"/>
                <w:szCs w:val="24"/>
              </w:rPr>
            </w:pPr>
            <w:r w:rsidRPr="001821E8">
              <w:rPr>
                <w:color w:val="000000"/>
                <w:sz w:val="24"/>
                <w:szCs w:val="24"/>
              </w:rPr>
              <w:t>Cumulativo</w:t>
            </w:r>
          </w:p>
        </w:tc>
      </w:tr>
      <w:tr w:rsidR="001821E8" w:rsidRPr="001821E8" w:rsidTr="00AF4B5B">
        <w:trPr>
          <w:trHeight w:val="410"/>
          <w:jc w:val="center"/>
        </w:trPr>
        <w:tc>
          <w:tcPr>
            <w:tcW w:w="3117" w:type="dxa"/>
            <w:tcBorders>
              <w:top w:val="single" w:sz="8" w:space="0" w:color="000000"/>
              <w:bottom w:val="single" w:sz="4" w:space="0" w:color="auto"/>
              <w:right w:val="single" w:sz="8" w:space="0" w:color="000000"/>
            </w:tcBorders>
            <w:shd w:val="clear" w:color="auto" w:fill="auto"/>
            <w:vAlign w:val="center"/>
            <w:hideMark/>
          </w:tcPr>
          <w:p w:rsidR="001821E8" w:rsidRPr="001821E8" w:rsidRDefault="001821E8" w:rsidP="006C53B8">
            <w:pPr>
              <w:spacing w:after="120"/>
              <w:jc w:val="center"/>
              <w:rPr>
                <w:color w:val="000000"/>
                <w:sz w:val="24"/>
                <w:szCs w:val="24"/>
              </w:rPr>
            </w:pPr>
            <w:r w:rsidRPr="001821E8">
              <w:rPr>
                <w:color w:val="000000"/>
                <w:sz w:val="24"/>
                <w:szCs w:val="24"/>
              </w:rPr>
              <w:t>Agropecuário</w:t>
            </w:r>
          </w:p>
        </w:tc>
        <w:tc>
          <w:tcPr>
            <w:tcW w:w="993" w:type="dxa"/>
            <w:tcBorders>
              <w:top w:val="single" w:sz="8" w:space="0" w:color="000000"/>
              <w:left w:val="single" w:sz="4" w:space="0" w:color="000000"/>
              <w:bottom w:val="single" w:sz="4" w:space="0" w:color="auto"/>
              <w:right w:val="single" w:sz="4" w:space="0" w:color="000000"/>
            </w:tcBorders>
            <w:shd w:val="clear" w:color="auto" w:fill="auto"/>
            <w:noWrap/>
            <w:vAlign w:val="center"/>
            <w:hideMark/>
          </w:tcPr>
          <w:p w:rsidR="001821E8" w:rsidRPr="001821E8" w:rsidRDefault="001821E8" w:rsidP="006C53B8">
            <w:pPr>
              <w:spacing w:after="120"/>
              <w:jc w:val="center"/>
              <w:rPr>
                <w:color w:val="000000"/>
                <w:sz w:val="24"/>
                <w:szCs w:val="24"/>
              </w:rPr>
            </w:pPr>
            <w:r w:rsidRPr="001821E8">
              <w:rPr>
                <w:color w:val="000000"/>
                <w:sz w:val="24"/>
                <w:szCs w:val="24"/>
              </w:rPr>
              <w:t>3,365</w:t>
            </w:r>
          </w:p>
        </w:tc>
        <w:tc>
          <w:tcPr>
            <w:tcW w:w="1279" w:type="dxa"/>
            <w:tcBorders>
              <w:top w:val="single" w:sz="8" w:space="0" w:color="000000"/>
              <w:left w:val="nil"/>
              <w:bottom w:val="single" w:sz="4" w:space="0" w:color="auto"/>
              <w:right w:val="single" w:sz="4" w:space="0" w:color="000000"/>
            </w:tcBorders>
            <w:shd w:val="clear" w:color="auto" w:fill="auto"/>
            <w:noWrap/>
            <w:vAlign w:val="center"/>
            <w:hideMark/>
          </w:tcPr>
          <w:p w:rsidR="001821E8" w:rsidRPr="001821E8" w:rsidRDefault="001821E8" w:rsidP="006C53B8">
            <w:pPr>
              <w:spacing w:after="120"/>
              <w:jc w:val="center"/>
              <w:rPr>
                <w:color w:val="000000"/>
                <w:sz w:val="24"/>
                <w:szCs w:val="24"/>
              </w:rPr>
            </w:pPr>
            <w:r w:rsidRPr="001821E8">
              <w:rPr>
                <w:color w:val="000000"/>
                <w:sz w:val="24"/>
                <w:szCs w:val="24"/>
              </w:rPr>
              <w:t>48,073%</w:t>
            </w:r>
          </w:p>
        </w:tc>
        <w:tc>
          <w:tcPr>
            <w:tcW w:w="1518" w:type="dxa"/>
            <w:tcBorders>
              <w:top w:val="single" w:sz="8" w:space="0" w:color="000000"/>
              <w:left w:val="nil"/>
              <w:bottom w:val="single" w:sz="4" w:space="0" w:color="auto"/>
            </w:tcBorders>
            <w:shd w:val="clear" w:color="auto" w:fill="auto"/>
            <w:noWrap/>
            <w:vAlign w:val="center"/>
            <w:hideMark/>
          </w:tcPr>
          <w:p w:rsidR="001821E8" w:rsidRPr="001821E8" w:rsidRDefault="001821E8" w:rsidP="006C53B8">
            <w:pPr>
              <w:spacing w:after="120"/>
              <w:jc w:val="center"/>
              <w:rPr>
                <w:color w:val="000000"/>
                <w:sz w:val="24"/>
                <w:szCs w:val="24"/>
              </w:rPr>
            </w:pPr>
            <w:r w:rsidRPr="001821E8">
              <w:rPr>
                <w:color w:val="000000"/>
                <w:sz w:val="24"/>
                <w:szCs w:val="24"/>
              </w:rPr>
              <w:t>48,073%</w:t>
            </w:r>
          </w:p>
        </w:tc>
      </w:tr>
      <w:tr w:rsidR="001821E8" w:rsidRPr="001821E8" w:rsidTr="00AF4B5B">
        <w:trPr>
          <w:trHeight w:val="136"/>
          <w:jc w:val="center"/>
        </w:trPr>
        <w:tc>
          <w:tcPr>
            <w:tcW w:w="3117" w:type="dxa"/>
            <w:tcBorders>
              <w:top w:val="single" w:sz="4" w:space="0" w:color="auto"/>
              <w:bottom w:val="single" w:sz="4" w:space="0" w:color="auto"/>
              <w:right w:val="single" w:sz="8" w:space="0" w:color="000000"/>
            </w:tcBorders>
            <w:shd w:val="clear" w:color="auto" w:fill="auto"/>
            <w:vAlign w:val="center"/>
            <w:hideMark/>
          </w:tcPr>
          <w:p w:rsidR="001821E8" w:rsidRPr="001821E8" w:rsidRDefault="001821E8" w:rsidP="006C53B8">
            <w:pPr>
              <w:spacing w:after="120"/>
              <w:jc w:val="center"/>
              <w:rPr>
                <w:color w:val="000000"/>
                <w:sz w:val="24"/>
                <w:szCs w:val="24"/>
              </w:rPr>
            </w:pPr>
            <w:r w:rsidRPr="001821E8">
              <w:rPr>
                <w:color w:val="000000"/>
                <w:sz w:val="24"/>
                <w:szCs w:val="24"/>
              </w:rPr>
              <w:t>Agricultura Familiar</w:t>
            </w:r>
          </w:p>
        </w:tc>
        <w:tc>
          <w:tcPr>
            <w:tcW w:w="993"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821E8" w:rsidRPr="001821E8" w:rsidRDefault="001821E8" w:rsidP="006C53B8">
            <w:pPr>
              <w:spacing w:after="120"/>
              <w:jc w:val="center"/>
              <w:rPr>
                <w:color w:val="000000"/>
                <w:sz w:val="24"/>
                <w:szCs w:val="24"/>
              </w:rPr>
            </w:pPr>
            <w:r w:rsidRPr="001821E8">
              <w:rPr>
                <w:color w:val="000000"/>
                <w:sz w:val="24"/>
                <w:szCs w:val="24"/>
              </w:rPr>
              <w:t>3,004</w:t>
            </w:r>
          </w:p>
        </w:tc>
        <w:tc>
          <w:tcPr>
            <w:tcW w:w="1279" w:type="dxa"/>
            <w:tcBorders>
              <w:top w:val="single" w:sz="4" w:space="0" w:color="auto"/>
              <w:left w:val="nil"/>
              <w:bottom w:val="single" w:sz="4" w:space="0" w:color="auto"/>
              <w:right w:val="single" w:sz="4" w:space="0" w:color="000000"/>
            </w:tcBorders>
            <w:shd w:val="clear" w:color="auto" w:fill="auto"/>
            <w:noWrap/>
            <w:vAlign w:val="center"/>
            <w:hideMark/>
          </w:tcPr>
          <w:p w:rsidR="001821E8" w:rsidRPr="001821E8" w:rsidRDefault="001821E8" w:rsidP="006C53B8">
            <w:pPr>
              <w:spacing w:after="120"/>
              <w:jc w:val="center"/>
              <w:rPr>
                <w:color w:val="000000"/>
                <w:sz w:val="24"/>
                <w:szCs w:val="24"/>
              </w:rPr>
            </w:pPr>
            <w:r w:rsidRPr="001821E8">
              <w:rPr>
                <w:color w:val="000000"/>
                <w:sz w:val="24"/>
                <w:szCs w:val="24"/>
              </w:rPr>
              <w:t>42,914%</w:t>
            </w:r>
          </w:p>
        </w:tc>
        <w:tc>
          <w:tcPr>
            <w:tcW w:w="1518" w:type="dxa"/>
            <w:tcBorders>
              <w:top w:val="single" w:sz="4" w:space="0" w:color="auto"/>
              <w:left w:val="nil"/>
              <w:bottom w:val="single" w:sz="4" w:space="0" w:color="auto"/>
            </w:tcBorders>
            <w:shd w:val="clear" w:color="auto" w:fill="auto"/>
            <w:noWrap/>
            <w:vAlign w:val="center"/>
            <w:hideMark/>
          </w:tcPr>
          <w:p w:rsidR="001821E8" w:rsidRPr="001821E8" w:rsidRDefault="001821E8" w:rsidP="006C53B8">
            <w:pPr>
              <w:keepNext/>
              <w:spacing w:after="120"/>
              <w:jc w:val="center"/>
              <w:rPr>
                <w:color w:val="000000"/>
                <w:sz w:val="24"/>
                <w:szCs w:val="24"/>
              </w:rPr>
            </w:pPr>
            <w:r w:rsidRPr="001821E8">
              <w:rPr>
                <w:color w:val="000000"/>
                <w:sz w:val="24"/>
                <w:szCs w:val="24"/>
              </w:rPr>
              <w:t>90,986%</w:t>
            </w:r>
          </w:p>
        </w:tc>
      </w:tr>
    </w:tbl>
    <w:p w:rsidR="008F4736" w:rsidRPr="008F4736" w:rsidRDefault="001821E8" w:rsidP="008F4736">
      <w:pPr>
        <w:pStyle w:val="Legenda"/>
        <w:spacing w:after="120"/>
        <w:jc w:val="center"/>
        <w:rPr>
          <w:rFonts w:ascii="Times New Roman" w:hAnsi="Times New Roman"/>
          <w:i w:val="0"/>
          <w:color w:val="auto"/>
          <w:sz w:val="22"/>
        </w:rPr>
      </w:pPr>
      <w:r w:rsidRPr="00420F84">
        <w:rPr>
          <w:rFonts w:ascii="Times New Roman" w:hAnsi="Times New Roman"/>
          <w:i w:val="0"/>
          <w:color w:val="auto"/>
          <w:sz w:val="22"/>
        </w:rPr>
        <w:t>Fonte: Autores.</w:t>
      </w:r>
    </w:p>
    <w:p w:rsidR="004D0633" w:rsidRDefault="004D0633" w:rsidP="008F2DE0">
      <w:pPr>
        <w:widowControl w:val="0"/>
        <w:suppressAutoHyphens/>
        <w:spacing w:line="360" w:lineRule="auto"/>
        <w:ind w:firstLine="709"/>
        <w:jc w:val="both"/>
        <w:rPr>
          <w:rFonts w:eastAsia="Lucida Sans Unicode"/>
          <w:kern w:val="1"/>
          <w:sz w:val="24"/>
          <w:szCs w:val="24"/>
          <w:lang w:eastAsia="ar-SA"/>
        </w:rPr>
      </w:pPr>
      <w:r w:rsidRPr="004D0633">
        <w:rPr>
          <w:rFonts w:eastAsia="Lucida Sans Unicode"/>
          <w:kern w:val="1"/>
          <w:sz w:val="24"/>
          <w:szCs w:val="24"/>
          <w:lang w:eastAsia="ar-SA"/>
        </w:rPr>
        <w:lastRenderedPageBreak/>
        <w:t>Depois de aplicada a analise fatorial apresentou dois fatores que conjuntamente respondem por aproximadamente 90,99% da variância total, ou seja, altamente significativo e recomendado para o fenômeno (tabela1).</w:t>
      </w:r>
    </w:p>
    <w:p w:rsidR="00C367E1" w:rsidRPr="00E1274A" w:rsidRDefault="00F624A0" w:rsidP="008F4736">
      <w:pPr>
        <w:widowControl w:val="0"/>
        <w:suppressAutoHyphens/>
        <w:spacing w:line="360" w:lineRule="auto"/>
        <w:jc w:val="both"/>
        <w:rPr>
          <w:rFonts w:eastAsia="Lucida Sans Unicode"/>
          <w:b/>
          <w:kern w:val="1"/>
          <w:sz w:val="24"/>
          <w:szCs w:val="24"/>
          <w:lang w:eastAsia="ar-SA"/>
        </w:rPr>
      </w:pPr>
      <w:r w:rsidRPr="00E1274A">
        <w:rPr>
          <w:rFonts w:eastAsia="Lucida Sans Unicode"/>
          <w:b/>
          <w:kern w:val="1"/>
          <w:sz w:val="24"/>
          <w:szCs w:val="24"/>
          <w:lang w:eastAsia="ar-SA"/>
        </w:rPr>
        <w:t>3.2</w:t>
      </w:r>
      <w:r w:rsidR="00C367E1" w:rsidRPr="00E1274A">
        <w:rPr>
          <w:rFonts w:eastAsia="Lucida Sans Unicode"/>
          <w:b/>
          <w:kern w:val="1"/>
          <w:sz w:val="24"/>
          <w:szCs w:val="24"/>
          <w:lang w:eastAsia="ar-SA"/>
        </w:rPr>
        <w:t>.3. Análise das dimensões fatoriais</w:t>
      </w:r>
    </w:p>
    <w:p w:rsidR="00C367E1" w:rsidRPr="00C367E1" w:rsidRDefault="00C367E1" w:rsidP="00AA6E9E">
      <w:pPr>
        <w:widowControl w:val="0"/>
        <w:suppressAutoHyphens/>
        <w:spacing w:line="360" w:lineRule="auto"/>
        <w:jc w:val="both"/>
        <w:rPr>
          <w:rFonts w:eastAsia="Lucida Sans Unicode"/>
          <w:kern w:val="1"/>
          <w:sz w:val="24"/>
          <w:szCs w:val="24"/>
          <w:lang w:eastAsia="ar-SA"/>
        </w:rPr>
      </w:pPr>
      <w:r w:rsidRPr="00C367E1">
        <w:rPr>
          <w:rFonts w:eastAsia="Lucida Sans Unicode"/>
          <w:kern w:val="1"/>
          <w:sz w:val="24"/>
          <w:szCs w:val="24"/>
          <w:lang w:eastAsia="ar-SA"/>
        </w:rPr>
        <w:tab/>
        <w:t xml:space="preserve">Os resultados foram gerados não estabelecendo o número de fatores desejados, quando o modelo fatorial foi rodado, duas dimensões foram extraídas para o numero de variáveis estudadas, fato esse que pode ser comprovado através do </w:t>
      </w:r>
      <w:proofErr w:type="spellStart"/>
      <w:r w:rsidRPr="00C367E1">
        <w:rPr>
          <w:rFonts w:eastAsia="Lucida Sans Unicode"/>
          <w:i/>
          <w:kern w:val="1"/>
          <w:sz w:val="24"/>
          <w:szCs w:val="24"/>
          <w:lang w:eastAsia="ar-SA"/>
        </w:rPr>
        <w:t>screen</w:t>
      </w:r>
      <w:proofErr w:type="spellEnd"/>
      <w:r w:rsidRPr="00C367E1">
        <w:rPr>
          <w:rFonts w:eastAsia="Lucida Sans Unicode"/>
          <w:i/>
          <w:kern w:val="1"/>
          <w:sz w:val="24"/>
          <w:szCs w:val="24"/>
          <w:lang w:eastAsia="ar-SA"/>
        </w:rPr>
        <w:t xml:space="preserve"> </w:t>
      </w:r>
      <w:proofErr w:type="spellStart"/>
      <w:r w:rsidRPr="00C367E1">
        <w:rPr>
          <w:rFonts w:eastAsia="Lucida Sans Unicode"/>
          <w:i/>
          <w:kern w:val="1"/>
          <w:sz w:val="24"/>
          <w:szCs w:val="24"/>
          <w:lang w:eastAsia="ar-SA"/>
        </w:rPr>
        <w:t>plot</w:t>
      </w:r>
      <w:proofErr w:type="spellEnd"/>
      <w:r w:rsidRPr="00C367E1">
        <w:rPr>
          <w:rFonts w:eastAsia="Lucida Sans Unicode"/>
          <w:kern w:val="1"/>
          <w:sz w:val="24"/>
          <w:szCs w:val="24"/>
          <w:lang w:eastAsia="ar-SA"/>
        </w:rPr>
        <w:t xml:space="preserve"> (Figura 1), gráfico dos autovalores pelo número de fatores por ordem de extração, onde que no ponto de inflexão deste gr</w:t>
      </w:r>
      <w:r w:rsidR="00F624A0">
        <w:rPr>
          <w:rFonts w:eastAsia="Lucida Sans Unicode"/>
          <w:kern w:val="1"/>
          <w:sz w:val="24"/>
          <w:szCs w:val="24"/>
          <w:lang w:eastAsia="ar-SA"/>
        </w:rPr>
        <w:t>áfico é possível determinar o nú</w:t>
      </w:r>
      <w:r w:rsidRPr="00C367E1">
        <w:rPr>
          <w:rFonts w:eastAsia="Lucida Sans Unicode"/>
          <w:kern w:val="1"/>
          <w:sz w:val="24"/>
          <w:szCs w:val="24"/>
          <w:lang w:eastAsia="ar-SA"/>
        </w:rPr>
        <w:t>mero de componentes.</w:t>
      </w:r>
    </w:p>
    <w:p w:rsidR="00C367E1" w:rsidRPr="00C367E1" w:rsidRDefault="00220EE8" w:rsidP="00D71767">
      <w:pPr>
        <w:keepNext/>
        <w:widowControl w:val="0"/>
        <w:suppressAutoHyphens/>
        <w:spacing w:line="360" w:lineRule="auto"/>
        <w:jc w:val="center"/>
        <w:rPr>
          <w:rFonts w:eastAsia="Lucida Sans Unicode"/>
          <w:kern w:val="1"/>
          <w:sz w:val="24"/>
          <w:szCs w:val="24"/>
          <w:lang w:eastAsia="ar-SA"/>
        </w:rPr>
      </w:pPr>
      <w:r>
        <w:rPr>
          <w:noProof/>
        </w:rPr>
        <mc:AlternateContent>
          <mc:Choice Requires="wps">
            <w:drawing>
              <wp:anchor distT="0" distB="0" distL="114300" distR="114300" simplePos="0" relativeHeight="251661312" behindDoc="0" locked="0" layoutInCell="1" allowOverlap="1" wp14:anchorId="033DB676" wp14:editId="718D8642">
                <wp:simplePos x="0" y="0"/>
                <wp:positionH relativeFrom="column">
                  <wp:posOffset>865505</wp:posOffset>
                </wp:positionH>
                <wp:positionV relativeFrom="paragraph">
                  <wp:posOffset>2867660</wp:posOffset>
                </wp:positionV>
                <wp:extent cx="4097655" cy="63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4097655" cy="635"/>
                        </a:xfrm>
                        <a:prstGeom prst="rect">
                          <a:avLst/>
                        </a:prstGeom>
                        <a:solidFill>
                          <a:prstClr val="white"/>
                        </a:solidFill>
                        <a:ln>
                          <a:noFill/>
                        </a:ln>
                        <a:effectLst/>
                      </wps:spPr>
                      <wps:txbx>
                        <w:txbxContent>
                          <w:p w:rsidR="00220EE8" w:rsidRPr="00220EE8" w:rsidRDefault="00220EE8" w:rsidP="00220EE8">
                            <w:pPr>
                              <w:pStyle w:val="Legenda"/>
                              <w:spacing w:after="0"/>
                              <w:jc w:val="center"/>
                              <w:rPr>
                                <w:rFonts w:ascii="Times New Roman" w:eastAsia="Lucida Sans Unicode" w:hAnsi="Times New Roman"/>
                                <w:i w:val="0"/>
                                <w:noProof/>
                                <w:color w:val="auto"/>
                                <w:kern w:val="1"/>
                                <w:sz w:val="22"/>
                                <w:szCs w:val="22"/>
                              </w:rPr>
                            </w:pPr>
                            <w:r w:rsidRPr="00220EE8">
                              <w:rPr>
                                <w:rFonts w:ascii="Times New Roman" w:hAnsi="Times New Roman"/>
                                <w:i w:val="0"/>
                                <w:color w:val="auto"/>
                                <w:sz w:val="22"/>
                                <w:szCs w:val="22"/>
                              </w:rPr>
                              <w:t>Fonte:</w:t>
                            </w:r>
                            <w:r>
                              <w:rPr>
                                <w:rFonts w:ascii="Times New Roman" w:hAnsi="Times New Roman"/>
                                <w:i w:val="0"/>
                                <w:color w:val="auto"/>
                                <w:sz w:val="22"/>
                                <w:szCs w:val="22"/>
                              </w:rPr>
                              <w:t xml:space="preserve"> Autores.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8.15pt;margin-top:225.8pt;width:322.6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DQNgIAAHEEAAAOAAAAZHJzL2Uyb0RvYy54bWysVFGP2jAMfp+0/xDlfRTYYDdEOTFOTJPQ&#10;3UncdM8hTWmkNM6cQMt+/Zy05bbbnqa9BMd2PtffZ7O8bWvDzgq9BpvzyWjMmbISCm2POf/2tH13&#10;w5kPwhbCgFU5vyjPb1dv3ywbt1BTqMAUChmBWL9oXM6rENwiy7ysVC38CJyyFCwBaxHoisesQNEQ&#10;em2y6Xg8zxrAwiFI5T1577ogXyX8slQyPJSlV4GZnNO3hXRiOg/xzFZLsTiicJWW/WeIf/iKWmhL&#10;Ra9QdyIIdkL9B1StJYKHMowk1BmUpZYq9UDdTMavutlXwqnUC5Hj3ZUm//9g5f35EZkucj7lzIqa&#10;JNoI3QpWKBZUG4BNI0eN8wtK3TtKDu1naEnrwe/JGVtvS6zjLzXFKE5sX64MExKT5Pww/vRxPptx&#10;Jik2fz+LGNnLU4c+fFFQs2jkHEm+xKo473zoUoeUWMmD0cVWGxMvMbAxyM6CpG4qHVQP/luWsTHX&#10;QnzVAXYelWalrxK77bqKVmgPbU/BAYoLMYDQzZF3cqup7E748CiQBoeapmUID3SUBpqcQ29xVgH+&#10;+Js/5pOeFOWsoUHMuf9+Eqg4M18tKR2ndjBwMA6DYU/1BqjhCa2Zk8mkBxjMYJYI9TPtyDpWoZCw&#10;kmrlPAzmJnTrQDsm1Xqdkmg2nQg7u3cyQg/0PrXPAl0vTpyOexhGVCxeadTlJpXc+hSI8CRgJLRj&#10;kYSPF5rrNAL9DsbF+fWesl7+KVY/AQAA//8DAFBLAwQUAAYACAAAACEA3ESumuEAAAALAQAADwAA&#10;AGRycy9kb3ducmV2LnhtbEyPMU/DMBCFdyT+g3VILIg6JSGtQpyqqmCApSJ0YXNjNw7E58h22vDv&#10;uXaB7d7d07vvlavJ9uyofegcCpjPEmAaG6c6bAXsPl7ul8BClKhk71AL+NEBVtX1VSkL5U74ro91&#10;bBmFYCikABPjUHAeGqOtDDM3aKTbwXkrI0nfcuXlicJtzx+SJOdWdkgfjBz0xujmux6tgG32uTV3&#10;4+H5bZ2l/nU3bvKvthbi9mZaPwGLeop/ZjjjEzpUxLR3I6rAetJpnpJVQPY4z4GRY7E8D/vLZgG8&#10;Kvn/DtUvAAAA//8DAFBLAQItABQABgAIAAAAIQC2gziS/gAAAOEBAAATAAAAAAAAAAAAAAAAAAAA&#10;AABbQ29udGVudF9UeXBlc10ueG1sUEsBAi0AFAAGAAgAAAAhADj9If/WAAAAlAEAAAsAAAAAAAAA&#10;AAAAAAAALwEAAF9yZWxzLy5yZWxzUEsBAi0AFAAGAAgAAAAhAKMDYNA2AgAAcQQAAA4AAAAAAAAA&#10;AAAAAAAALgIAAGRycy9lMm9Eb2MueG1sUEsBAi0AFAAGAAgAAAAhANxErprhAAAACwEAAA8AAAAA&#10;AAAAAAAAAAAAkAQAAGRycy9kb3ducmV2LnhtbFBLBQYAAAAABAAEAPMAAACeBQAAAAA=&#10;" stroked="f">
                <v:textbox style="mso-fit-shape-to-text:t" inset="0,0,0,0">
                  <w:txbxContent>
                    <w:p w:rsidR="00220EE8" w:rsidRPr="00220EE8" w:rsidRDefault="00220EE8" w:rsidP="00220EE8">
                      <w:pPr>
                        <w:pStyle w:val="Legenda"/>
                        <w:spacing w:after="0"/>
                        <w:jc w:val="center"/>
                        <w:rPr>
                          <w:rFonts w:ascii="Times New Roman" w:eastAsia="Lucida Sans Unicode" w:hAnsi="Times New Roman"/>
                          <w:i w:val="0"/>
                          <w:noProof/>
                          <w:color w:val="auto"/>
                          <w:kern w:val="1"/>
                          <w:sz w:val="22"/>
                          <w:szCs w:val="22"/>
                        </w:rPr>
                      </w:pPr>
                      <w:r w:rsidRPr="00220EE8">
                        <w:rPr>
                          <w:rFonts w:ascii="Times New Roman" w:hAnsi="Times New Roman"/>
                          <w:i w:val="0"/>
                          <w:color w:val="auto"/>
                          <w:sz w:val="22"/>
                          <w:szCs w:val="22"/>
                        </w:rPr>
                        <w:t>Fonte:</w:t>
                      </w:r>
                      <w:r>
                        <w:rPr>
                          <w:rFonts w:ascii="Times New Roman" w:hAnsi="Times New Roman"/>
                          <w:i w:val="0"/>
                          <w:color w:val="auto"/>
                          <w:sz w:val="22"/>
                          <w:szCs w:val="22"/>
                        </w:rPr>
                        <w:t xml:space="preserve"> Autores.</w:t>
                      </w:r>
                    </w:p>
                  </w:txbxContent>
                </v:textbox>
              </v:shape>
            </w:pict>
          </mc:Fallback>
        </mc:AlternateContent>
      </w:r>
      <w:r w:rsidR="006C53B8">
        <w:rPr>
          <w:rFonts w:eastAsia="Lucida Sans Unicode"/>
          <w:noProof/>
          <w:kern w:val="1"/>
          <w:sz w:val="24"/>
          <w:szCs w:val="24"/>
        </w:rPr>
        <w:drawing>
          <wp:anchor distT="0" distB="0" distL="114300" distR="114300" simplePos="0" relativeHeight="251659264" behindDoc="1" locked="0" layoutInCell="1" allowOverlap="1" wp14:anchorId="73526B5C" wp14:editId="3BED9BF6">
            <wp:simplePos x="0" y="0"/>
            <wp:positionH relativeFrom="margin">
              <wp:posOffset>865505</wp:posOffset>
            </wp:positionH>
            <wp:positionV relativeFrom="margin">
              <wp:posOffset>2609850</wp:posOffset>
            </wp:positionV>
            <wp:extent cx="4097655" cy="2566670"/>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7655" cy="256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7E1" w:rsidRPr="00C367E1">
        <w:rPr>
          <w:rFonts w:eastAsia="Lucida Sans Unicode"/>
          <w:kern w:val="1"/>
          <w:sz w:val="24"/>
          <w:szCs w:val="24"/>
          <w:lang w:eastAsia="ar-SA"/>
        </w:rPr>
        <w:t xml:space="preserve">Figura 1 – </w:t>
      </w:r>
      <w:proofErr w:type="spellStart"/>
      <w:r w:rsidR="00C367E1" w:rsidRPr="00C367E1">
        <w:rPr>
          <w:rFonts w:eastAsia="Lucida Sans Unicode"/>
          <w:kern w:val="1"/>
          <w:sz w:val="24"/>
          <w:szCs w:val="24"/>
          <w:lang w:eastAsia="ar-SA"/>
        </w:rPr>
        <w:t>Screen</w:t>
      </w:r>
      <w:proofErr w:type="spellEnd"/>
      <w:r w:rsidR="00C367E1" w:rsidRPr="00C367E1">
        <w:rPr>
          <w:rFonts w:eastAsia="Lucida Sans Unicode"/>
          <w:kern w:val="1"/>
          <w:sz w:val="24"/>
          <w:szCs w:val="24"/>
          <w:lang w:eastAsia="ar-SA"/>
        </w:rPr>
        <w:t xml:space="preserve"> </w:t>
      </w:r>
      <w:proofErr w:type="spellStart"/>
      <w:r w:rsidR="00C367E1" w:rsidRPr="00C367E1">
        <w:rPr>
          <w:rFonts w:eastAsia="Lucida Sans Unicode"/>
          <w:kern w:val="1"/>
          <w:sz w:val="24"/>
          <w:szCs w:val="24"/>
          <w:lang w:eastAsia="ar-SA"/>
        </w:rPr>
        <w:t>Plot</w:t>
      </w:r>
      <w:proofErr w:type="spellEnd"/>
    </w:p>
    <w:p w:rsidR="00C367E1" w:rsidRPr="00C367E1" w:rsidRDefault="00C367E1" w:rsidP="00D71767">
      <w:pPr>
        <w:keepNext/>
        <w:widowControl w:val="0"/>
        <w:suppressAutoHyphens/>
        <w:spacing w:after="120" w:line="360" w:lineRule="auto"/>
        <w:rPr>
          <w:rFonts w:eastAsia="Lucida Sans Unicode"/>
          <w:kern w:val="1"/>
          <w:sz w:val="24"/>
          <w:szCs w:val="24"/>
          <w:lang w:eastAsia="ar-SA"/>
        </w:rPr>
      </w:pPr>
    </w:p>
    <w:p w:rsidR="00C367E1" w:rsidRPr="00C367E1" w:rsidRDefault="00C367E1" w:rsidP="00C367E1">
      <w:pPr>
        <w:keepNext/>
        <w:widowControl w:val="0"/>
        <w:suppressAutoHyphens/>
        <w:spacing w:after="120" w:line="360" w:lineRule="auto"/>
        <w:jc w:val="center"/>
        <w:rPr>
          <w:rFonts w:eastAsia="Lucida Sans Unicode"/>
          <w:kern w:val="1"/>
          <w:sz w:val="24"/>
          <w:szCs w:val="24"/>
          <w:lang w:eastAsia="ar-SA"/>
        </w:rPr>
      </w:pPr>
    </w:p>
    <w:p w:rsidR="00C367E1" w:rsidRPr="00C367E1" w:rsidRDefault="00C367E1" w:rsidP="00C367E1">
      <w:pPr>
        <w:widowControl w:val="0"/>
        <w:suppressAutoHyphens/>
        <w:jc w:val="center"/>
        <w:rPr>
          <w:rFonts w:eastAsia="Lucida Sans Unicode"/>
          <w:b/>
          <w:bCs/>
          <w:kern w:val="1"/>
          <w:sz w:val="24"/>
          <w:szCs w:val="24"/>
        </w:rPr>
      </w:pPr>
    </w:p>
    <w:p w:rsidR="00C367E1" w:rsidRPr="00C367E1" w:rsidRDefault="00C367E1" w:rsidP="00C367E1">
      <w:pPr>
        <w:widowControl w:val="0"/>
        <w:suppressAutoHyphens/>
        <w:rPr>
          <w:rFonts w:eastAsia="Lucida Sans Unicode"/>
          <w:kern w:val="1"/>
          <w:sz w:val="24"/>
          <w:szCs w:val="24"/>
        </w:rPr>
      </w:pPr>
    </w:p>
    <w:p w:rsidR="00C367E1" w:rsidRPr="00C367E1" w:rsidRDefault="00C367E1" w:rsidP="00C367E1">
      <w:pPr>
        <w:widowControl w:val="0"/>
        <w:suppressAutoHyphens/>
        <w:rPr>
          <w:rFonts w:eastAsia="Lucida Sans Unicode"/>
          <w:kern w:val="1"/>
          <w:sz w:val="24"/>
          <w:szCs w:val="24"/>
          <w:lang w:eastAsia="ar-SA"/>
        </w:rPr>
      </w:pPr>
    </w:p>
    <w:p w:rsidR="00C367E1" w:rsidRPr="00C367E1" w:rsidRDefault="00C367E1" w:rsidP="00C367E1">
      <w:pPr>
        <w:widowControl w:val="0"/>
        <w:suppressAutoHyphens/>
        <w:spacing w:after="120" w:line="360" w:lineRule="auto"/>
        <w:jc w:val="both"/>
        <w:rPr>
          <w:rFonts w:eastAsia="Lucida Sans Unicode"/>
          <w:kern w:val="1"/>
          <w:sz w:val="24"/>
          <w:szCs w:val="24"/>
          <w:lang w:eastAsia="ar-SA"/>
        </w:rPr>
      </w:pPr>
      <w:r w:rsidRPr="00C367E1">
        <w:rPr>
          <w:rFonts w:eastAsia="Lucida Sans Unicode"/>
          <w:kern w:val="1"/>
          <w:sz w:val="24"/>
          <w:szCs w:val="24"/>
          <w:lang w:eastAsia="ar-SA"/>
        </w:rPr>
        <w:tab/>
      </w:r>
    </w:p>
    <w:p w:rsidR="00C367E1" w:rsidRPr="00C367E1" w:rsidRDefault="00C367E1" w:rsidP="00C367E1">
      <w:pPr>
        <w:widowControl w:val="0"/>
        <w:suppressAutoHyphens/>
        <w:spacing w:after="120" w:line="360" w:lineRule="auto"/>
        <w:jc w:val="both"/>
        <w:rPr>
          <w:rFonts w:eastAsia="Lucida Sans Unicode"/>
          <w:kern w:val="1"/>
          <w:sz w:val="24"/>
          <w:szCs w:val="24"/>
          <w:lang w:eastAsia="ar-SA"/>
        </w:rPr>
      </w:pPr>
    </w:p>
    <w:p w:rsidR="00D71767" w:rsidRDefault="00D71767" w:rsidP="008F2DE0">
      <w:pPr>
        <w:widowControl w:val="0"/>
        <w:suppressAutoHyphens/>
        <w:spacing w:line="360" w:lineRule="auto"/>
        <w:ind w:firstLine="709"/>
        <w:jc w:val="both"/>
        <w:rPr>
          <w:rFonts w:eastAsia="Lucida Sans Unicode"/>
          <w:kern w:val="1"/>
          <w:sz w:val="24"/>
          <w:szCs w:val="24"/>
          <w:lang w:eastAsia="ar-SA"/>
        </w:rPr>
      </w:pPr>
    </w:p>
    <w:p w:rsidR="00D71767" w:rsidRDefault="00D71767" w:rsidP="008F2DE0">
      <w:pPr>
        <w:widowControl w:val="0"/>
        <w:suppressAutoHyphens/>
        <w:spacing w:line="360" w:lineRule="auto"/>
        <w:ind w:firstLine="709"/>
        <w:jc w:val="both"/>
        <w:rPr>
          <w:rFonts w:eastAsia="Lucida Sans Unicode"/>
          <w:kern w:val="1"/>
          <w:sz w:val="24"/>
          <w:szCs w:val="24"/>
          <w:lang w:eastAsia="ar-SA"/>
        </w:rPr>
      </w:pPr>
    </w:p>
    <w:p w:rsidR="005B53E6" w:rsidRDefault="005B53E6" w:rsidP="008F2DE0">
      <w:pPr>
        <w:widowControl w:val="0"/>
        <w:suppressAutoHyphens/>
        <w:spacing w:line="360" w:lineRule="auto"/>
        <w:ind w:firstLine="709"/>
        <w:jc w:val="both"/>
        <w:rPr>
          <w:rFonts w:eastAsia="Lucida Sans Unicode"/>
          <w:kern w:val="1"/>
          <w:sz w:val="24"/>
          <w:szCs w:val="24"/>
          <w:lang w:eastAsia="ar-SA"/>
        </w:rPr>
      </w:pPr>
    </w:p>
    <w:p w:rsidR="005B53E6" w:rsidRDefault="005B53E6" w:rsidP="008F2DE0">
      <w:pPr>
        <w:widowControl w:val="0"/>
        <w:suppressAutoHyphens/>
        <w:spacing w:line="360" w:lineRule="auto"/>
        <w:ind w:firstLine="709"/>
        <w:jc w:val="both"/>
        <w:rPr>
          <w:rFonts w:eastAsia="Lucida Sans Unicode"/>
          <w:kern w:val="1"/>
          <w:sz w:val="24"/>
          <w:szCs w:val="24"/>
          <w:lang w:eastAsia="ar-SA"/>
        </w:rPr>
      </w:pPr>
    </w:p>
    <w:p w:rsidR="00C367E1" w:rsidRPr="00C367E1" w:rsidRDefault="00C367E1" w:rsidP="008F2DE0">
      <w:pPr>
        <w:widowControl w:val="0"/>
        <w:suppressAutoHyphens/>
        <w:spacing w:line="360" w:lineRule="auto"/>
        <w:ind w:firstLine="709"/>
        <w:jc w:val="both"/>
        <w:rPr>
          <w:rFonts w:eastAsia="Lucida Sans Unicode"/>
          <w:kern w:val="1"/>
          <w:sz w:val="24"/>
          <w:szCs w:val="24"/>
          <w:lang w:eastAsia="ar-SA"/>
        </w:rPr>
      </w:pPr>
      <w:r w:rsidRPr="00C367E1">
        <w:rPr>
          <w:rFonts w:eastAsia="Lucida Sans Unicode"/>
          <w:kern w:val="1"/>
          <w:sz w:val="24"/>
          <w:szCs w:val="24"/>
          <w:lang w:eastAsia="ar-SA"/>
        </w:rPr>
        <w:t>A partir disso, foi realizada a nomeação dos dois fatores, o primeiro fator foi nomeado de fator agropecuário que explicou 48,073% (Tabela 1) de toda</w:t>
      </w:r>
      <w:r w:rsidRPr="00C367E1">
        <w:rPr>
          <w:rFonts w:ascii="Arial" w:eastAsia="Lucida Sans Unicode" w:hAnsi="Arial" w:cs="Arial"/>
          <w:kern w:val="1"/>
          <w:lang w:eastAsia="ar-SA"/>
        </w:rPr>
        <w:t xml:space="preserve"> </w:t>
      </w:r>
      <w:r w:rsidRPr="00C367E1">
        <w:rPr>
          <w:rFonts w:eastAsia="Lucida Sans Unicode"/>
          <w:kern w:val="1"/>
          <w:sz w:val="24"/>
          <w:szCs w:val="24"/>
          <w:lang w:eastAsia="ar-SA"/>
        </w:rPr>
        <w:t>variância total dos dados e en</w:t>
      </w:r>
      <w:r w:rsidR="006B328F">
        <w:rPr>
          <w:rFonts w:eastAsia="Lucida Sans Unicode"/>
          <w:kern w:val="1"/>
          <w:sz w:val="24"/>
          <w:szCs w:val="24"/>
          <w:lang w:eastAsia="ar-SA"/>
        </w:rPr>
        <w:t>globou as seguintes variáveis: c</w:t>
      </w:r>
      <w:r w:rsidRPr="00C367E1">
        <w:rPr>
          <w:rFonts w:eastAsia="Lucida Sans Unicode"/>
          <w:kern w:val="1"/>
          <w:sz w:val="24"/>
          <w:szCs w:val="24"/>
          <w:lang w:eastAsia="ar-SA"/>
        </w:rPr>
        <w:t>ana-de-açúcar, banana, coco da baía e o rebanho de bovinos (Tabela 2), todas as variáveis apresentaram relação positiva com o fator indicando que para o período indicado ocorreu variações no mesmo sentido no conjunto do fator, exceto a variável coco da baía.</w:t>
      </w:r>
    </w:p>
    <w:p w:rsidR="00C367E1" w:rsidRDefault="00C367E1" w:rsidP="00513CCE">
      <w:pPr>
        <w:widowControl w:val="0"/>
        <w:tabs>
          <w:tab w:val="left" w:pos="709"/>
        </w:tabs>
        <w:suppressAutoHyphens/>
        <w:spacing w:line="360" w:lineRule="auto"/>
        <w:jc w:val="both"/>
        <w:rPr>
          <w:rFonts w:eastAsia="Lucida Sans Unicode"/>
          <w:kern w:val="1"/>
          <w:sz w:val="24"/>
          <w:szCs w:val="24"/>
          <w:lang w:eastAsia="ar-SA"/>
        </w:rPr>
      </w:pPr>
      <w:r w:rsidRPr="00C367E1">
        <w:rPr>
          <w:rFonts w:eastAsia="Lucida Sans Unicode"/>
          <w:kern w:val="1"/>
          <w:sz w:val="24"/>
          <w:szCs w:val="24"/>
          <w:lang w:eastAsia="ar-SA"/>
        </w:rPr>
        <w:tab/>
        <w:t xml:space="preserve">O fator </w:t>
      </w:r>
      <w:proofErr w:type="gramStart"/>
      <w:r w:rsidRPr="00C367E1">
        <w:rPr>
          <w:rFonts w:eastAsia="Lucida Sans Unicode"/>
          <w:kern w:val="1"/>
          <w:sz w:val="24"/>
          <w:szCs w:val="24"/>
          <w:lang w:eastAsia="ar-SA"/>
        </w:rPr>
        <w:t>2</w:t>
      </w:r>
      <w:proofErr w:type="gramEnd"/>
      <w:r w:rsidRPr="00C367E1">
        <w:rPr>
          <w:rFonts w:eastAsia="Lucida Sans Unicode"/>
          <w:kern w:val="1"/>
          <w:sz w:val="24"/>
          <w:szCs w:val="24"/>
          <w:lang w:eastAsia="ar-SA"/>
        </w:rPr>
        <w:t xml:space="preserve"> foi nomeado de fator agricultura familiar e explicou 42,914% (Tabela 1) de toda variância total dos dados e </w:t>
      </w:r>
      <w:r w:rsidR="006B328F">
        <w:rPr>
          <w:rFonts w:eastAsia="Lucida Sans Unicode"/>
          <w:kern w:val="1"/>
          <w:sz w:val="24"/>
          <w:szCs w:val="24"/>
          <w:lang w:eastAsia="ar-SA"/>
        </w:rPr>
        <w:t>juntou as seguintes variáveis: a</w:t>
      </w:r>
      <w:r w:rsidRPr="00C367E1">
        <w:rPr>
          <w:rFonts w:eastAsia="Lucida Sans Unicode"/>
          <w:kern w:val="1"/>
          <w:sz w:val="24"/>
          <w:szCs w:val="24"/>
          <w:lang w:eastAsia="ar-SA"/>
        </w:rPr>
        <w:t>rroz, feijão e milho (Tabela 2), neste fator todas as variáveis apresentaram relações positivas.</w:t>
      </w:r>
    </w:p>
    <w:tbl>
      <w:tblPr>
        <w:tblW w:w="6326" w:type="dxa"/>
        <w:jc w:val="center"/>
        <w:tblInd w:w="70" w:type="dxa"/>
        <w:tblCellMar>
          <w:left w:w="70" w:type="dxa"/>
          <w:right w:w="70" w:type="dxa"/>
        </w:tblCellMar>
        <w:tblLook w:val="04A0" w:firstRow="1" w:lastRow="0" w:firstColumn="1" w:lastColumn="0" w:noHBand="0" w:noVBand="1"/>
      </w:tblPr>
      <w:tblGrid>
        <w:gridCol w:w="2060"/>
        <w:gridCol w:w="2060"/>
        <w:gridCol w:w="2206"/>
      </w:tblGrid>
      <w:tr w:rsidR="0019680A" w:rsidRPr="0019680A" w:rsidTr="00420F84">
        <w:trPr>
          <w:trHeight w:val="348"/>
          <w:jc w:val="center"/>
        </w:trPr>
        <w:tc>
          <w:tcPr>
            <w:tcW w:w="6326" w:type="dxa"/>
            <w:gridSpan w:val="3"/>
            <w:tcBorders>
              <w:top w:val="nil"/>
              <w:left w:val="nil"/>
              <w:bottom w:val="nil"/>
              <w:right w:val="nil"/>
            </w:tcBorders>
            <w:shd w:val="clear" w:color="auto" w:fill="auto"/>
            <w:vAlign w:val="center"/>
            <w:hideMark/>
          </w:tcPr>
          <w:p w:rsidR="0019680A" w:rsidRPr="0019680A" w:rsidRDefault="00AA6E9E" w:rsidP="00AA6E9E">
            <w:pPr>
              <w:jc w:val="center"/>
              <w:rPr>
                <w:bCs/>
                <w:color w:val="000000"/>
                <w:sz w:val="22"/>
                <w:szCs w:val="24"/>
              </w:rPr>
            </w:pPr>
            <w:r>
              <w:rPr>
                <w:bCs/>
                <w:color w:val="000000"/>
                <w:sz w:val="22"/>
                <w:szCs w:val="24"/>
              </w:rPr>
              <w:lastRenderedPageBreak/>
              <w:t xml:space="preserve">Tabela 2 – </w:t>
            </w:r>
            <w:r w:rsidR="0019680A" w:rsidRPr="0019680A">
              <w:rPr>
                <w:bCs/>
                <w:color w:val="000000"/>
                <w:sz w:val="22"/>
                <w:szCs w:val="24"/>
              </w:rPr>
              <w:t xml:space="preserve">Matriz de componentes </w:t>
            </w:r>
            <w:proofErr w:type="spellStart"/>
            <w:r w:rsidR="0019680A" w:rsidRPr="0019680A">
              <w:rPr>
                <w:bCs/>
                <w:color w:val="000000"/>
                <w:sz w:val="22"/>
                <w:szCs w:val="24"/>
              </w:rPr>
              <w:t>rotacionados</w:t>
            </w:r>
            <w:proofErr w:type="spellEnd"/>
            <w:r w:rsidR="00C92CAE">
              <w:rPr>
                <w:bCs/>
                <w:color w:val="000000"/>
                <w:sz w:val="22"/>
                <w:szCs w:val="24"/>
              </w:rPr>
              <w:t>.</w:t>
            </w:r>
          </w:p>
        </w:tc>
      </w:tr>
      <w:tr w:rsidR="0019680A" w:rsidRPr="0019680A" w:rsidTr="00420F84">
        <w:trPr>
          <w:trHeight w:val="73"/>
          <w:jc w:val="center"/>
        </w:trPr>
        <w:tc>
          <w:tcPr>
            <w:tcW w:w="2060" w:type="dxa"/>
            <w:vMerge w:val="restart"/>
            <w:tcBorders>
              <w:top w:val="single" w:sz="8" w:space="0" w:color="000000"/>
              <w:bottom w:val="single" w:sz="8" w:space="0" w:color="000000"/>
              <w:right w:val="single" w:sz="8" w:space="0" w:color="000000"/>
            </w:tcBorders>
            <w:shd w:val="clear" w:color="auto" w:fill="auto"/>
            <w:vAlign w:val="center"/>
            <w:hideMark/>
          </w:tcPr>
          <w:p w:rsidR="0019680A" w:rsidRPr="0019680A" w:rsidRDefault="0019680A" w:rsidP="006C53B8">
            <w:pPr>
              <w:spacing w:after="120"/>
              <w:jc w:val="center"/>
              <w:rPr>
                <w:sz w:val="24"/>
                <w:szCs w:val="24"/>
              </w:rPr>
            </w:pPr>
            <w:r w:rsidRPr="0019680A">
              <w:rPr>
                <w:sz w:val="24"/>
                <w:szCs w:val="24"/>
              </w:rPr>
              <w:t>Variáveis</w:t>
            </w:r>
          </w:p>
        </w:tc>
        <w:tc>
          <w:tcPr>
            <w:tcW w:w="4266" w:type="dxa"/>
            <w:gridSpan w:val="2"/>
            <w:tcBorders>
              <w:top w:val="single" w:sz="8" w:space="0" w:color="000000"/>
              <w:left w:val="nil"/>
              <w:bottom w:val="nil"/>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Fatores</w:t>
            </w:r>
          </w:p>
        </w:tc>
      </w:tr>
      <w:tr w:rsidR="0019680A" w:rsidRPr="0019680A" w:rsidTr="00420F84">
        <w:trPr>
          <w:trHeight w:val="108"/>
          <w:jc w:val="center"/>
        </w:trPr>
        <w:tc>
          <w:tcPr>
            <w:tcW w:w="2060" w:type="dxa"/>
            <w:vMerge/>
            <w:tcBorders>
              <w:top w:val="single" w:sz="8" w:space="0" w:color="000000"/>
              <w:bottom w:val="single" w:sz="8" w:space="0" w:color="000000"/>
              <w:right w:val="single" w:sz="8" w:space="0" w:color="000000"/>
            </w:tcBorders>
            <w:vAlign w:val="center"/>
            <w:hideMark/>
          </w:tcPr>
          <w:p w:rsidR="0019680A" w:rsidRPr="0019680A" w:rsidRDefault="0019680A" w:rsidP="006C53B8">
            <w:pPr>
              <w:spacing w:after="120"/>
              <w:jc w:val="center"/>
              <w:rPr>
                <w:sz w:val="24"/>
                <w:szCs w:val="24"/>
              </w:rPr>
            </w:pPr>
          </w:p>
        </w:tc>
        <w:tc>
          <w:tcPr>
            <w:tcW w:w="2060" w:type="dxa"/>
            <w:tcBorders>
              <w:top w:val="single" w:sz="4" w:space="0" w:color="000000"/>
              <w:left w:val="nil"/>
              <w:bottom w:val="single" w:sz="8" w:space="0" w:color="000000"/>
              <w:right w:val="single" w:sz="4"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Agropecuário</w:t>
            </w:r>
          </w:p>
        </w:tc>
        <w:tc>
          <w:tcPr>
            <w:tcW w:w="2206" w:type="dxa"/>
            <w:tcBorders>
              <w:top w:val="single" w:sz="4" w:space="0" w:color="000000"/>
              <w:left w:val="nil"/>
              <w:bottom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Agricultura familiar</w:t>
            </w:r>
          </w:p>
        </w:tc>
      </w:tr>
      <w:tr w:rsidR="0019680A" w:rsidRPr="0019680A" w:rsidTr="00420F84">
        <w:trPr>
          <w:trHeight w:val="285"/>
          <w:jc w:val="center"/>
        </w:trPr>
        <w:tc>
          <w:tcPr>
            <w:tcW w:w="2060" w:type="dxa"/>
            <w:tcBorders>
              <w:top w:val="single" w:sz="8" w:space="0" w:color="000000"/>
              <w:bottom w:val="single" w:sz="4" w:space="0" w:color="auto"/>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Arroz</w:t>
            </w:r>
          </w:p>
        </w:tc>
        <w:tc>
          <w:tcPr>
            <w:tcW w:w="2060" w:type="dxa"/>
            <w:tcBorders>
              <w:top w:val="single" w:sz="8" w:space="0" w:color="000000"/>
              <w:left w:val="nil"/>
              <w:bottom w:val="single" w:sz="4" w:space="0" w:color="auto"/>
              <w:right w:val="single" w:sz="4" w:space="0" w:color="000000"/>
            </w:tcBorders>
            <w:shd w:val="clear" w:color="auto" w:fill="auto"/>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,114</w:t>
            </w:r>
            <w:proofErr w:type="gramEnd"/>
          </w:p>
        </w:tc>
        <w:tc>
          <w:tcPr>
            <w:tcW w:w="2206" w:type="dxa"/>
            <w:tcBorders>
              <w:top w:val="single" w:sz="8" w:space="0" w:color="000000"/>
              <w:left w:val="nil"/>
              <w:bottom w:val="single" w:sz="4" w:space="0" w:color="auto"/>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,957</w:t>
            </w:r>
            <w:proofErr w:type="gramEnd"/>
          </w:p>
        </w:tc>
      </w:tr>
      <w:tr w:rsidR="0019680A" w:rsidRPr="0019680A" w:rsidTr="00420F84">
        <w:trPr>
          <w:trHeight w:val="380"/>
          <w:jc w:val="center"/>
        </w:trPr>
        <w:tc>
          <w:tcPr>
            <w:tcW w:w="2060" w:type="dxa"/>
            <w:tcBorders>
              <w:top w:val="single" w:sz="4" w:space="0" w:color="auto"/>
              <w:bottom w:val="single" w:sz="4" w:space="0" w:color="auto"/>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Cana-de-açúcar</w:t>
            </w:r>
          </w:p>
        </w:tc>
        <w:tc>
          <w:tcPr>
            <w:tcW w:w="2060" w:type="dxa"/>
            <w:tcBorders>
              <w:top w:val="single" w:sz="4" w:space="0" w:color="auto"/>
              <w:left w:val="nil"/>
              <w:bottom w:val="single" w:sz="4" w:space="0" w:color="auto"/>
              <w:right w:val="single" w:sz="4" w:space="0" w:color="000000"/>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,980</w:t>
            </w:r>
            <w:proofErr w:type="gramEnd"/>
          </w:p>
        </w:tc>
        <w:tc>
          <w:tcPr>
            <w:tcW w:w="2206" w:type="dxa"/>
            <w:tcBorders>
              <w:top w:val="single" w:sz="4" w:space="0" w:color="auto"/>
              <w:left w:val="nil"/>
              <w:bottom w:val="single" w:sz="4" w:space="0" w:color="auto"/>
            </w:tcBorders>
            <w:shd w:val="clear" w:color="auto" w:fill="auto"/>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,090</w:t>
            </w:r>
            <w:proofErr w:type="gramEnd"/>
          </w:p>
        </w:tc>
      </w:tr>
      <w:tr w:rsidR="0019680A" w:rsidRPr="0019680A" w:rsidTr="00420F84">
        <w:trPr>
          <w:trHeight w:val="274"/>
          <w:jc w:val="center"/>
        </w:trPr>
        <w:tc>
          <w:tcPr>
            <w:tcW w:w="2060" w:type="dxa"/>
            <w:tcBorders>
              <w:top w:val="single" w:sz="4" w:space="0" w:color="auto"/>
              <w:bottom w:val="single" w:sz="4" w:space="0" w:color="auto"/>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Feijão</w:t>
            </w:r>
          </w:p>
        </w:tc>
        <w:tc>
          <w:tcPr>
            <w:tcW w:w="2060" w:type="dxa"/>
            <w:tcBorders>
              <w:top w:val="single" w:sz="4" w:space="0" w:color="auto"/>
              <w:left w:val="nil"/>
              <w:bottom w:val="single" w:sz="4" w:space="0" w:color="auto"/>
              <w:right w:val="single" w:sz="4" w:space="0" w:color="000000"/>
            </w:tcBorders>
            <w:shd w:val="clear" w:color="auto" w:fill="auto"/>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,402</w:t>
            </w:r>
            <w:proofErr w:type="gramEnd"/>
          </w:p>
        </w:tc>
        <w:tc>
          <w:tcPr>
            <w:tcW w:w="2206" w:type="dxa"/>
            <w:tcBorders>
              <w:top w:val="single" w:sz="4" w:space="0" w:color="auto"/>
              <w:left w:val="nil"/>
              <w:bottom w:val="single" w:sz="4" w:space="0" w:color="auto"/>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,846</w:t>
            </w:r>
            <w:proofErr w:type="gramEnd"/>
          </w:p>
        </w:tc>
      </w:tr>
      <w:tr w:rsidR="0019680A" w:rsidRPr="0019680A" w:rsidTr="00420F84">
        <w:trPr>
          <w:trHeight w:val="324"/>
          <w:jc w:val="center"/>
        </w:trPr>
        <w:tc>
          <w:tcPr>
            <w:tcW w:w="2060" w:type="dxa"/>
            <w:tcBorders>
              <w:top w:val="single" w:sz="4" w:space="0" w:color="auto"/>
              <w:bottom w:val="single" w:sz="4" w:space="0" w:color="auto"/>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Milho</w:t>
            </w:r>
          </w:p>
        </w:tc>
        <w:tc>
          <w:tcPr>
            <w:tcW w:w="2060" w:type="dxa"/>
            <w:tcBorders>
              <w:top w:val="single" w:sz="4" w:space="0" w:color="auto"/>
              <w:left w:val="nil"/>
              <w:bottom w:val="single" w:sz="4" w:space="0" w:color="auto"/>
              <w:right w:val="single" w:sz="4" w:space="0" w:color="000000"/>
            </w:tcBorders>
            <w:shd w:val="clear" w:color="auto" w:fill="auto"/>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,472</w:t>
            </w:r>
            <w:proofErr w:type="gramEnd"/>
          </w:p>
        </w:tc>
        <w:tc>
          <w:tcPr>
            <w:tcW w:w="2206" w:type="dxa"/>
            <w:tcBorders>
              <w:top w:val="single" w:sz="4" w:space="0" w:color="auto"/>
              <w:left w:val="nil"/>
              <w:bottom w:val="single" w:sz="4" w:space="0" w:color="auto"/>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,796</w:t>
            </w:r>
            <w:proofErr w:type="gramEnd"/>
          </w:p>
        </w:tc>
      </w:tr>
      <w:tr w:rsidR="0019680A" w:rsidRPr="0019680A" w:rsidTr="00420F84">
        <w:trPr>
          <w:trHeight w:val="70"/>
          <w:jc w:val="center"/>
        </w:trPr>
        <w:tc>
          <w:tcPr>
            <w:tcW w:w="2060" w:type="dxa"/>
            <w:tcBorders>
              <w:top w:val="single" w:sz="4" w:space="0" w:color="auto"/>
              <w:bottom w:val="single" w:sz="4" w:space="0" w:color="auto"/>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Banana</w:t>
            </w:r>
          </w:p>
        </w:tc>
        <w:tc>
          <w:tcPr>
            <w:tcW w:w="2060" w:type="dxa"/>
            <w:tcBorders>
              <w:top w:val="single" w:sz="4" w:space="0" w:color="auto"/>
              <w:left w:val="nil"/>
              <w:bottom w:val="single" w:sz="4" w:space="0" w:color="auto"/>
              <w:right w:val="single" w:sz="4" w:space="0" w:color="000000"/>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,902</w:t>
            </w:r>
            <w:proofErr w:type="gramEnd"/>
          </w:p>
        </w:tc>
        <w:tc>
          <w:tcPr>
            <w:tcW w:w="2206" w:type="dxa"/>
            <w:tcBorders>
              <w:top w:val="single" w:sz="4" w:space="0" w:color="auto"/>
              <w:left w:val="nil"/>
              <w:bottom w:val="single" w:sz="4" w:space="0" w:color="auto"/>
            </w:tcBorders>
            <w:shd w:val="clear" w:color="auto" w:fill="auto"/>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,423</w:t>
            </w:r>
            <w:proofErr w:type="gramEnd"/>
          </w:p>
        </w:tc>
      </w:tr>
      <w:tr w:rsidR="0019680A" w:rsidRPr="0019680A" w:rsidTr="00420F84">
        <w:trPr>
          <w:trHeight w:val="70"/>
          <w:jc w:val="center"/>
        </w:trPr>
        <w:tc>
          <w:tcPr>
            <w:tcW w:w="2060" w:type="dxa"/>
            <w:tcBorders>
              <w:top w:val="single" w:sz="4" w:space="0" w:color="auto"/>
              <w:bottom w:val="single" w:sz="4" w:space="0" w:color="auto"/>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Coco-da-baía</w:t>
            </w:r>
          </w:p>
        </w:tc>
        <w:tc>
          <w:tcPr>
            <w:tcW w:w="2060" w:type="dxa"/>
            <w:tcBorders>
              <w:top w:val="single" w:sz="4" w:space="0" w:color="auto"/>
              <w:left w:val="nil"/>
              <w:bottom w:val="single" w:sz="4" w:space="0" w:color="auto"/>
              <w:right w:val="single" w:sz="4" w:space="0" w:color="000000"/>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w:t>
            </w:r>
            <w:proofErr w:type="gramEnd"/>
            <w:r w:rsidRPr="0019680A">
              <w:rPr>
                <w:color w:val="000000"/>
                <w:sz w:val="24"/>
                <w:szCs w:val="24"/>
              </w:rPr>
              <w:t>815</w:t>
            </w:r>
          </w:p>
        </w:tc>
        <w:tc>
          <w:tcPr>
            <w:tcW w:w="2206" w:type="dxa"/>
            <w:tcBorders>
              <w:top w:val="single" w:sz="4" w:space="0" w:color="auto"/>
              <w:left w:val="nil"/>
              <w:bottom w:val="single" w:sz="4" w:space="0" w:color="auto"/>
            </w:tcBorders>
            <w:shd w:val="clear" w:color="auto" w:fill="auto"/>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w:t>
            </w:r>
            <w:proofErr w:type="gramEnd"/>
            <w:r w:rsidRPr="0019680A">
              <w:rPr>
                <w:color w:val="000000"/>
                <w:sz w:val="24"/>
                <w:szCs w:val="24"/>
              </w:rPr>
              <w:t>452</w:t>
            </w:r>
          </w:p>
        </w:tc>
      </w:tr>
      <w:tr w:rsidR="0019680A" w:rsidRPr="0019680A" w:rsidTr="00420F84">
        <w:trPr>
          <w:trHeight w:val="70"/>
          <w:jc w:val="center"/>
        </w:trPr>
        <w:tc>
          <w:tcPr>
            <w:tcW w:w="2060" w:type="dxa"/>
            <w:tcBorders>
              <w:top w:val="single" w:sz="4" w:space="0" w:color="auto"/>
              <w:bottom w:val="single" w:sz="8" w:space="0" w:color="000000"/>
              <w:right w:val="single" w:sz="8" w:space="0" w:color="000000"/>
            </w:tcBorders>
            <w:shd w:val="clear" w:color="auto" w:fill="auto"/>
            <w:vAlign w:val="center"/>
            <w:hideMark/>
          </w:tcPr>
          <w:p w:rsidR="0019680A" w:rsidRPr="0019680A" w:rsidRDefault="0019680A" w:rsidP="006C53B8">
            <w:pPr>
              <w:spacing w:after="120"/>
              <w:jc w:val="center"/>
              <w:rPr>
                <w:color w:val="000000"/>
                <w:sz w:val="24"/>
                <w:szCs w:val="24"/>
              </w:rPr>
            </w:pPr>
            <w:r w:rsidRPr="0019680A">
              <w:rPr>
                <w:color w:val="000000"/>
                <w:sz w:val="24"/>
                <w:szCs w:val="24"/>
              </w:rPr>
              <w:t>Bovinos</w:t>
            </w:r>
          </w:p>
        </w:tc>
        <w:tc>
          <w:tcPr>
            <w:tcW w:w="2060" w:type="dxa"/>
            <w:tcBorders>
              <w:top w:val="single" w:sz="4" w:space="0" w:color="auto"/>
              <w:left w:val="nil"/>
              <w:bottom w:val="single" w:sz="8" w:space="0" w:color="000000"/>
              <w:right w:val="single" w:sz="4" w:space="0" w:color="000000"/>
            </w:tcBorders>
            <w:shd w:val="clear" w:color="000000" w:fill="FFFF00"/>
            <w:noWrap/>
            <w:vAlign w:val="center"/>
            <w:hideMark/>
          </w:tcPr>
          <w:p w:rsidR="0019680A" w:rsidRPr="0019680A" w:rsidRDefault="0019680A" w:rsidP="006C53B8">
            <w:pPr>
              <w:spacing w:after="120"/>
              <w:jc w:val="center"/>
              <w:rPr>
                <w:color w:val="000000"/>
                <w:sz w:val="24"/>
                <w:szCs w:val="24"/>
              </w:rPr>
            </w:pPr>
            <w:proofErr w:type="gramStart"/>
            <w:r w:rsidRPr="0019680A">
              <w:rPr>
                <w:color w:val="000000"/>
                <w:sz w:val="24"/>
                <w:szCs w:val="24"/>
              </w:rPr>
              <w:t>,727</w:t>
            </w:r>
            <w:proofErr w:type="gramEnd"/>
          </w:p>
        </w:tc>
        <w:tc>
          <w:tcPr>
            <w:tcW w:w="2206" w:type="dxa"/>
            <w:tcBorders>
              <w:top w:val="single" w:sz="4" w:space="0" w:color="auto"/>
              <w:left w:val="nil"/>
              <w:bottom w:val="single" w:sz="8" w:space="0" w:color="000000"/>
            </w:tcBorders>
            <w:shd w:val="clear" w:color="auto" w:fill="auto"/>
            <w:noWrap/>
            <w:vAlign w:val="center"/>
            <w:hideMark/>
          </w:tcPr>
          <w:p w:rsidR="0019680A" w:rsidRPr="0019680A" w:rsidRDefault="0019680A" w:rsidP="006C53B8">
            <w:pPr>
              <w:keepNext/>
              <w:spacing w:after="120"/>
              <w:jc w:val="center"/>
              <w:rPr>
                <w:color w:val="000000"/>
                <w:sz w:val="24"/>
                <w:szCs w:val="24"/>
              </w:rPr>
            </w:pPr>
            <w:proofErr w:type="gramStart"/>
            <w:r w:rsidRPr="0019680A">
              <w:rPr>
                <w:color w:val="000000"/>
                <w:sz w:val="24"/>
                <w:szCs w:val="24"/>
              </w:rPr>
              <w:t>,589</w:t>
            </w:r>
            <w:proofErr w:type="gramEnd"/>
          </w:p>
        </w:tc>
      </w:tr>
    </w:tbl>
    <w:p w:rsidR="0019680A" w:rsidRPr="0019680A" w:rsidRDefault="0019680A" w:rsidP="001A44C2">
      <w:pPr>
        <w:widowControl w:val="0"/>
        <w:suppressAutoHyphens/>
        <w:spacing w:after="120"/>
        <w:jc w:val="center"/>
        <w:rPr>
          <w:rFonts w:eastAsia="Lucida Sans Unicode"/>
          <w:bCs/>
          <w:kern w:val="1"/>
          <w:sz w:val="22"/>
        </w:rPr>
      </w:pPr>
      <w:r w:rsidRPr="0019680A">
        <w:rPr>
          <w:rFonts w:eastAsia="Lucida Sans Unicode"/>
          <w:bCs/>
          <w:kern w:val="1"/>
          <w:sz w:val="22"/>
        </w:rPr>
        <w:t>Fonte: Autores.</w:t>
      </w:r>
    </w:p>
    <w:p w:rsidR="008F2DE0" w:rsidRPr="008F2DE0" w:rsidRDefault="008F2DE0" w:rsidP="00513CCE">
      <w:pPr>
        <w:widowControl w:val="0"/>
        <w:suppressAutoHyphens/>
        <w:spacing w:line="360" w:lineRule="auto"/>
        <w:ind w:firstLine="709"/>
        <w:jc w:val="both"/>
        <w:rPr>
          <w:rFonts w:eastAsia="Lucida Sans Unicode"/>
          <w:kern w:val="1"/>
          <w:sz w:val="24"/>
          <w:szCs w:val="24"/>
          <w:lang w:eastAsia="ar-SA"/>
        </w:rPr>
      </w:pPr>
      <w:r w:rsidRPr="008F2DE0">
        <w:rPr>
          <w:rFonts w:eastAsia="Lucida Sans Unicode"/>
          <w:kern w:val="1"/>
          <w:sz w:val="24"/>
          <w:szCs w:val="24"/>
          <w:lang w:eastAsia="ar-SA"/>
        </w:rPr>
        <w:t>Comunalidade é a porção da variância que uma variável compartilha com todas as outras variáveis consideradas. É também a proporção de variância explicada pelos fatores comuns (COSTA, 2006). Usualmente o valor mínimo aceitável é de 0,5.</w:t>
      </w:r>
    </w:p>
    <w:p w:rsidR="008F2DE0" w:rsidRPr="008F2DE0" w:rsidRDefault="008F2DE0" w:rsidP="00513CCE">
      <w:pPr>
        <w:widowControl w:val="0"/>
        <w:suppressAutoHyphens/>
        <w:spacing w:line="360" w:lineRule="auto"/>
        <w:ind w:firstLine="709"/>
        <w:jc w:val="both"/>
        <w:rPr>
          <w:rFonts w:eastAsia="Lucida Sans Unicode"/>
          <w:kern w:val="1"/>
          <w:sz w:val="24"/>
          <w:szCs w:val="24"/>
          <w:lang w:eastAsia="ar-SA"/>
        </w:rPr>
      </w:pPr>
      <w:r w:rsidRPr="008F2DE0">
        <w:rPr>
          <w:rFonts w:eastAsia="Lucida Sans Unicode"/>
          <w:kern w:val="1"/>
          <w:sz w:val="24"/>
          <w:szCs w:val="24"/>
          <w:lang w:eastAsia="ar-SA"/>
        </w:rPr>
        <w:t>De acordo com a tabela 3</w:t>
      </w:r>
      <w:r w:rsidR="004D2219">
        <w:rPr>
          <w:rFonts w:eastAsia="Lucida Sans Unicode"/>
          <w:kern w:val="1"/>
          <w:sz w:val="24"/>
          <w:szCs w:val="24"/>
          <w:lang w:eastAsia="ar-SA"/>
        </w:rPr>
        <w:t>,</w:t>
      </w:r>
      <w:r w:rsidRPr="008F2DE0">
        <w:rPr>
          <w:rFonts w:eastAsia="Lucida Sans Unicode"/>
          <w:kern w:val="1"/>
          <w:sz w:val="24"/>
          <w:szCs w:val="24"/>
          <w:lang w:eastAsia="ar-SA"/>
        </w:rPr>
        <w:t xml:space="preserve"> todas as variáveis utilizadas nessa análise fatorial são aceitáveis, um indicio </w:t>
      </w:r>
      <w:r w:rsidR="004D2219">
        <w:rPr>
          <w:rFonts w:eastAsia="Lucida Sans Unicode"/>
          <w:kern w:val="1"/>
          <w:sz w:val="24"/>
          <w:szCs w:val="24"/>
          <w:lang w:eastAsia="ar-SA"/>
        </w:rPr>
        <w:t>de</w:t>
      </w:r>
      <w:r w:rsidRPr="008F2DE0">
        <w:rPr>
          <w:rFonts w:eastAsia="Lucida Sans Unicode"/>
          <w:kern w:val="1"/>
          <w:sz w:val="24"/>
          <w:szCs w:val="24"/>
          <w:lang w:eastAsia="ar-SA"/>
        </w:rPr>
        <w:t xml:space="preserve"> qu</w:t>
      </w:r>
      <w:r w:rsidR="004D2219">
        <w:rPr>
          <w:rFonts w:eastAsia="Lucida Sans Unicode"/>
          <w:kern w:val="1"/>
          <w:sz w:val="24"/>
          <w:szCs w:val="24"/>
          <w:lang w:eastAsia="ar-SA"/>
        </w:rPr>
        <w:t>e</w:t>
      </w:r>
      <w:r w:rsidRPr="008F2DE0">
        <w:rPr>
          <w:rFonts w:eastAsia="Lucida Sans Unicode"/>
          <w:kern w:val="1"/>
          <w:sz w:val="24"/>
          <w:szCs w:val="24"/>
          <w:lang w:eastAsia="ar-SA"/>
        </w:rPr>
        <w:t xml:space="preserve"> as variáveis estão linearmente correlacionadas, além do fato de </w:t>
      </w:r>
      <w:r w:rsidR="004D2219">
        <w:rPr>
          <w:rFonts w:eastAsia="Lucida Sans Unicode"/>
          <w:kern w:val="1"/>
          <w:sz w:val="24"/>
          <w:szCs w:val="24"/>
          <w:lang w:eastAsia="ar-SA"/>
        </w:rPr>
        <w:t xml:space="preserve">que </w:t>
      </w:r>
      <w:r w:rsidRPr="008F2DE0">
        <w:rPr>
          <w:rFonts w:eastAsia="Lucida Sans Unicode"/>
          <w:kern w:val="1"/>
          <w:sz w:val="24"/>
          <w:szCs w:val="24"/>
          <w:lang w:eastAsia="ar-SA"/>
        </w:rPr>
        <w:t>os dois fatores extraídos explicam mais de 85% da variância total de todas as variáveis abordadas como</w:t>
      </w:r>
      <w:r w:rsidR="004D2219" w:rsidRPr="008F2DE0">
        <w:rPr>
          <w:rFonts w:eastAsia="Lucida Sans Unicode"/>
          <w:kern w:val="1"/>
          <w:sz w:val="24"/>
          <w:szCs w:val="24"/>
          <w:lang w:eastAsia="ar-SA"/>
        </w:rPr>
        <w:t>, por exemplo</w:t>
      </w:r>
      <w:r w:rsidR="00291A6D" w:rsidRPr="008F2DE0">
        <w:rPr>
          <w:rFonts w:eastAsia="Lucida Sans Unicode"/>
          <w:kern w:val="1"/>
          <w:sz w:val="24"/>
          <w:szCs w:val="24"/>
          <w:lang w:eastAsia="ar-SA"/>
        </w:rPr>
        <w:t>,</w:t>
      </w:r>
      <w:r w:rsidRPr="008F2DE0">
        <w:rPr>
          <w:rFonts w:eastAsia="Lucida Sans Unicode"/>
          <w:kern w:val="1"/>
          <w:sz w:val="24"/>
          <w:szCs w:val="24"/>
          <w:lang w:eastAsia="ar-SA"/>
        </w:rPr>
        <w:t xml:space="preserve"> a banana que possui 99,30% da sua variância total explicada pelo fator agropecuário e agricultura familiar.</w:t>
      </w:r>
    </w:p>
    <w:tbl>
      <w:tblPr>
        <w:tblW w:w="5285" w:type="dxa"/>
        <w:jc w:val="center"/>
        <w:tblInd w:w="70" w:type="dxa"/>
        <w:tblCellMar>
          <w:left w:w="70" w:type="dxa"/>
          <w:right w:w="70" w:type="dxa"/>
        </w:tblCellMar>
        <w:tblLook w:val="04A0" w:firstRow="1" w:lastRow="0" w:firstColumn="1" w:lastColumn="0" w:noHBand="0" w:noVBand="1"/>
      </w:tblPr>
      <w:tblGrid>
        <w:gridCol w:w="2171"/>
        <w:gridCol w:w="1557"/>
        <w:gridCol w:w="1557"/>
      </w:tblGrid>
      <w:tr w:rsidR="008F2DE0" w:rsidRPr="008F2DE0" w:rsidTr="00386A68">
        <w:trPr>
          <w:trHeight w:val="361"/>
          <w:jc w:val="center"/>
        </w:trPr>
        <w:tc>
          <w:tcPr>
            <w:tcW w:w="5285" w:type="dxa"/>
            <w:gridSpan w:val="3"/>
            <w:tcBorders>
              <w:top w:val="nil"/>
              <w:left w:val="nil"/>
              <w:bottom w:val="single" w:sz="8" w:space="0" w:color="000000"/>
              <w:right w:val="nil"/>
            </w:tcBorders>
            <w:shd w:val="clear" w:color="auto" w:fill="auto"/>
            <w:vAlign w:val="center"/>
            <w:hideMark/>
          </w:tcPr>
          <w:p w:rsidR="008F2DE0" w:rsidRPr="008F2DE0" w:rsidRDefault="001A44C2" w:rsidP="006C53B8">
            <w:pPr>
              <w:spacing w:after="120"/>
              <w:jc w:val="center"/>
              <w:rPr>
                <w:bCs/>
                <w:color w:val="000000"/>
                <w:sz w:val="24"/>
                <w:szCs w:val="24"/>
              </w:rPr>
            </w:pPr>
            <w:r>
              <w:rPr>
                <w:bCs/>
                <w:color w:val="000000"/>
                <w:sz w:val="22"/>
                <w:szCs w:val="24"/>
              </w:rPr>
              <w:t>Tabela 3 –</w:t>
            </w:r>
            <w:r w:rsidR="008F2DE0" w:rsidRPr="008F2DE0">
              <w:rPr>
                <w:bCs/>
                <w:color w:val="000000"/>
                <w:sz w:val="22"/>
                <w:szCs w:val="24"/>
              </w:rPr>
              <w:t xml:space="preserve"> </w:t>
            </w:r>
            <w:proofErr w:type="spellStart"/>
            <w:r w:rsidR="008F2DE0" w:rsidRPr="008F2DE0">
              <w:rPr>
                <w:bCs/>
                <w:color w:val="000000"/>
                <w:sz w:val="22"/>
                <w:szCs w:val="24"/>
              </w:rPr>
              <w:t>Comunalidades</w:t>
            </w:r>
            <w:proofErr w:type="spellEnd"/>
            <w:r w:rsidR="008F2DE0" w:rsidRPr="008F2DE0">
              <w:rPr>
                <w:bCs/>
                <w:color w:val="000000"/>
                <w:sz w:val="22"/>
                <w:szCs w:val="24"/>
              </w:rPr>
              <w:t xml:space="preserve"> das variáveis estudadas</w:t>
            </w:r>
          </w:p>
        </w:tc>
      </w:tr>
      <w:tr w:rsidR="008F2DE0" w:rsidRPr="008F2DE0" w:rsidTr="00AF4B5B">
        <w:trPr>
          <w:trHeight w:val="441"/>
          <w:jc w:val="center"/>
        </w:trPr>
        <w:tc>
          <w:tcPr>
            <w:tcW w:w="2171" w:type="dxa"/>
            <w:tcBorders>
              <w:top w:val="single" w:sz="8" w:space="0" w:color="000000"/>
              <w:bottom w:val="single" w:sz="8" w:space="0" w:color="000000"/>
              <w:right w:val="single" w:sz="8" w:space="0" w:color="000000"/>
            </w:tcBorders>
            <w:shd w:val="clear" w:color="auto" w:fill="auto"/>
            <w:vAlign w:val="center"/>
            <w:hideMark/>
          </w:tcPr>
          <w:p w:rsidR="008F2DE0" w:rsidRPr="008F2DE0" w:rsidRDefault="008F2DE0" w:rsidP="006C53B8">
            <w:pPr>
              <w:spacing w:after="120"/>
              <w:jc w:val="center"/>
              <w:rPr>
                <w:sz w:val="24"/>
                <w:szCs w:val="24"/>
              </w:rPr>
            </w:pPr>
            <w:r w:rsidRPr="008F2DE0">
              <w:rPr>
                <w:sz w:val="24"/>
                <w:szCs w:val="24"/>
              </w:rPr>
              <w:t>Variáveis</w:t>
            </w:r>
          </w:p>
        </w:tc>
        <w:tc>
          <w:tcPr>
            <w:tcW w:w="1557" w:type="dxa"/>
            <w:tcBorders>
              <w:top w:val="single" w:sz="8" w:space="0" w:color="000000"/>
              <w:left w:val="nil"/>
              <w:bottom w:val="single" w:sz="8" w:space="0" w:color="000000"/>
              <w:right w:val="single" w:sz="4" w:space="0" w:color="000000"/>
            </w:tcBorders>
            <w:shd w:val="clear" w:color="auto" w:fill="auto"/>
            <w:vAlign w:val="center"/>
            <w:hideMark/>
          </w:tcPr>
          <w:p w:rsidR="008F2DE0" w:rsidRPr="008F2DE0" w:rsidRDefault="008F2DE0" w:rsidP="006C53B8">
            <w:pPr>
              <w:spacing w:after="120"/>
              <w:jc w:val="center"/>
              <w:rPr>
                <w:color w:val="000000"/>
                <w:sz w:val="24"/>
                <w:szCs w:val="24"/>
              </w:rPr>
            </w:pPr>
            <w:proofErr w:type="spellStart"/>
            <w:r w:rsidRPr="008F2DE0">
              <w:rPr>
                <w:color w:val="000000"/>
                <w:sz w:val="24"/>
                <w:szCs w:val="24"/>
              </w:rPr>
              <w:t>Initial</w:t>
            </w:r>
            <w:proofErr w:type="spellEnd"/>
          </w:p>
        </w:tc>
        <w:tc>
          <w:tcPr>
            <w:tcW w:w="1557" w:type="dxa"/>
            <w:tcBorders>
              <w:top w:val="single" w:sz="8" w:space="0" w:color="000000"/>
              <w:left w:val="nil"/>
              <w:bottom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proofErr w:type="spellStart"/>
            <w:r w:rsidRPr="008F2DE0">
              <w:rPr>
                <w:color w:val="000000"/>
                <w:sz w:val="24"/>
                <w:szCs w:val="24"/>
              </w:rPr>
              <w:t>Extraction</w:t>
            </w:r>
            <w:proofErr w:type="spellEnd"/>
          </w:p>
        </w:tc>
      </w:tr>
      <w:tr w:rsidR="008F2DE0" w:rsidRPr="008F2DE0" w:rsidTr="00AF4B5B">
        <w:trPr>
          <w:trHeight w:val="335"/>
          <w:jc w:val="center"/>
        </w:trPr>
        <w:tc>
          <w:tcPr>
            <w:tcW w:w="2171" w:type="dxa"/>
            <w:tcBorders>
              <w:top w:val="single" w:sz="8" w:space="0" w:color="000000"/>
              <w:bottom w:val="single" w:sz="4" w:space="0" w:color="auto"/>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Arroz</w:t>
            </w:r>
          </w:p>
        </w:tc>
        <w:tc>
          <w:tcPr>
            <w:tcW w:w="1557" w:type="dxa"/>
            <w:tcBorders>
              <w:top w:val="nil"/>
              <w:left w:val="nil"/>
              <w:bottom w:val="single" w:sz="4" w:space="0" w:color="auto"/>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8" w:space="0" w:color="000000"/>
              <w:left w:val="nil"/>
              <w:bottom w:val="single" w:sz="4" w:space="0" w:color="auto"/>
            </w:tcBorders>
            <w:shd w:val="clear" w:color="auto" w:fill="auto"/>
            <w:noWrap/>
            <w:vAlign w:val="center"/>
            <w:hideMark/>
          </w:tcPr>
          <w:p w:rsidR="008F2DE0" w:rsidRPr="008F2DE0" w:rsidRDefault="008F2DE0" w:rsidP="006C53B8">
            <w:pPr>
              <w:spacing w:after="120"/>
              <w:jc w:val="center"/>
              <w:rPr>
                <w:color w:val="000000"/>
                <w:sz w:val="24"/>
                <w:szCs w:val="24"/>
              </w:rPr>
            </w:pPr>
            <w:proofErr w:type="gramStart"/>
            <w:r w:rsidRPr="008F2DE0">
              <w:rPr>
                <w:color w:val="000000"/>
                <w:sz w:val="24"/>
                <w:szCs w:val="24"/>
              </w:rPr>
              <w:t>,928</w:t>
            </w:r>
            <w:proofErr w:type="gramEnd"/>
          </w:p>
        </w:tc>
      </w:tr>
      <w:tr w:rsidR="008F2DE0" w:rsidRPr="008F2DE0" w:rsidTr="00AF4B5B">
        <w:trPr>
          <w:trHeight w:val="239"/>
          <w:jc w:val="center"/>
        </w:trPr>
        <w:tc>
          <w:tcPr>
            <w:tcW w:w="2171" w:type="dxa"/>
            <w:tcBorders>
              <w:top w:val="single" w:sz="4" w:space="0" w:color="auto"/>
              <w:bottom w:val="single" w:sz="4" w:space="0" w:color="auto"/>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Cana-de-açúcar</w:t>
            </w:r>
          </w:p>
        </w:tc>
        <w:tc>
          <w:tcPr>
            <w:tcW w:w="1557" w:type="dxa"/>
            <w:tcBorders>
              <w:top w:val="single" w:sz="4" w:space="0" w:color="auto"/>
              <w:left w:val="nil"/>
              <w:bottom w:val="single" w:sz="4" w:space="0" w:color="auto"/>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4" w:space="0" w:color="auto"/>
              <w:left w:val="nil"/>
              <w:bottom w:val="single" w:sz="4" w:space="0" w:color="auto"/>
            </w:tcBorders>
            <w:shd w:val="clear" w:color="auto" w:fill="auto"/>
            <w:noWrap/>
            <w:vAlign w:val="center"/>
            <w:hideMark/>
          </w:tcPr>
          <w:p w:rsidR="008F2DE0" w:rsidRPr="008F2DE0" w:rsidRDefault="008F2DE0" w:rsidP="006C53B8">
            <w:pPr>
              <w:spacing w:after="120"/>
              <w:jc w:val="center"/>
              <w:rPr>
                <w:color w:val="000000"/>
                <w:sz w:val="24"/>
                <w:szCs w:val="24"/>
              </w:rPr>
            </w:pPr>
            <w:proofErr w:type="gramStart"/>
            <w:r w:rsidRPr="008F2DE0">
              <w:rPr>
                <w:color w:val="000000"/>
                <w:sz w:val="24"/>
                <w:szCs w:val="24"/>
              </w:rPr>
              <w:t>,968</w:t>
            </w:r>
            <w:proofErr w:type="gramEnd"/>
          </w:p>
        </w:tc>
      </w:tr>
      <w:tr w:rsidR="008F2DE0" w:rsidRPr="008F2DE0" w:rsidTr="00420F84">
        <w:trPr>
          <w:trHeight w:val="70"/>
          <w:jc w:val="center"/>
        </w:trPr>
        <w:tc>
          <w:tcPr>
            <w:tcW w:w="2171" w:type="dxa"/>
            <w:tcBorders>
              <w:top w:val="single" w:sz="4" w:space="0" w:color="auto"/>
              <w:bottom w:val="single" w:sz="4" w:space="0" w:color="auto"/>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Feijão</w:t>
            </w:r>
          </w:p>
        </w:tc>
        <w:tc>
          <w:tcPr>
            <w:tcW w:w="1557" w:type="dxa"/>
            <w:tcBorders>
              <w:top w:val="single" w:sz="4" w:space="0" w:color="auto"/>
              <w:left w:val="nil"/>
              <w:bottom w:val="single" w:sz="4" w:space="0" w:color="auto"/>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4" w:space="0" w:color="auto"/>
              <w:left w:val="nil"/>
              <w:bottom w:val="single" w:sz="4" w:space="0" w:color="auto"/>
            </w:tcBorders>
            <w:shd w:val="clear" w:color="auto" w:fill="auto"/>
            <w:noWrap/>
            <w:vAlign w:val="center"/>
            <w:hideMark/>
          </w:tcPr>
          <w:p w:rsidR="008F2DE0" w:rsidRPr="008F2DE0" w:rsidRDefault="008F2DE0" w:rsidP="006C53B8">
            <w:pPr>
              <w:spacing w:after="120"/>
              <w:jc w:val="center"/>
              <w:rPr>
                <w:color w:val="000000"/>
                <w:sz w:val="24"/>
                <w:szCs w:val="24"/>
              </w:rPr>
            </w:pPr>
            <w:proofErr w:type="gramStart"/>
            <w:r w:rsidRPr="008F2DE0">
              <w:rPr>
                <w:color w:val="000000"/>
                <w:sz w:val="24"/>
                <w:szCs w:val="24"/>
              </w:rPr>
              <w:t>,877</w:t>
            </w:r>
            <w:proofErr w:type="gramEnd"/>
          </w:p>
        </w:tc>
      </w:tr>
      <w:tr w:rsidR="008F2DE0" w:rsidRPr="008F2DE0" w:rsidTr="00AF4B5B">
        <w:trPr>
          <w:trHeight w:val="136"/>
          <w:jc w:val="center"/>
        </w:trPr>
        <w:tc>
          <w:tcPr>
            <w:tcW w:w="2171" w:type="dxa"/>
            <w:tcBorders>
              <w:top w:val="single" w:sz="4" w:space="0" w:color="auto"/>
              <w:bottom w:val="single" w:sz="4" w:space="0" w:color="auto"/>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Milho</w:t>
            </w:r>
          </w:p>
        </w:tc>
        <w:tc>
          <w:tcPr>
            <w:tcW w:w="1557" w:type="dxa"/>
            <w:tcBorders>
              <w:top w:val="single" w:sz="4" w:space="0" w:color="auto"/>
              <w:left w:val="nil"/>
              <w:bottom w:val="single" w:sz="4" w:space="0" w:color="auto"/>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4" w:space="0" w:color="auto"/>
              <w:left w:val="nil"/>
              <w:bottom w:val="single" w:sz="4" w:space="0" w:color="auto"/>
            </w:tcBorders>
            <w:shd w:val="clear" w:color="auto" w:fill="auto"/>
            <w:noWrap/>
            <w:vAlign w:val="center"/>
            <w:hideMark/>
          </w:tcPr>
          <w:p w:rsidR="008F2DE0" w:rsidRPr="008F2DE0" w:rsidRDefault="008F2DE0" w:rsidP="006C53B8">
            <w:pPr>
              <w:spacing w:after="120"/>
              <w:jc w:val="center"/>
              <w:rPr>
                <w:color w:val="000000"/>
                <w:sz w:val="24"/>
                <w:szCs w:val="24"/>
              </w:rPr>
            </w:pPr>
            <w:proofErr w:type="gramStart"/>
            <w:r w:rsidRPr="008F2DE0">
              <w:rPr>
                <w:color w:val="000000"/>
                <w:sz w:val="24"/>
                <w:szCs w:val="24"/>
              </w:rPr>
              <w:t>,857</w:t>
            </w:r>
            <w:proofErr w:type="gramEnd"/>
          </w:p>
        </w:tc>
      </w:tr>
      <w:tr w:rsidR="008F2DE0" w:rsidRPr="008F2DE0" w:rsidTr="00AF4B5B">
        <w:trPr>
          <w:trHeight w:val="70"/>
          <w:jc w:val="center"/>
        </w:trPr>
        <w:tc>
          <w:tcPr>
            <w:tcW w:w="2171" w:type="dxa"/>
            <w:tcBorders>
              <w:top w:val="single" w:sz="4" w:space="0" w:color="auto"/>
              <w:bottom w:val="single" w:sz="4" w:space="0" w:color="auto"/>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Banana</w:t>
            </w:r>
          </w:p>
        </w:tc>
        <w:tc>
          <w:tcPr>
            <w:tcW w:w="1557" w:type="dxa"/>
            <w:tcBorders>
              <w:top w:val="single" w:sz="4" w:space="0" w:color="auto"/>
              <w:left w:val="nil"/>
              <w:bottom w:val="single" w:sz="4" w:space="0" w:color="auto"/>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4" w:space="0" w:color="auto"/>
              <w:left w:val="nil"/>
              <w:bottom w:val="single" w:sz="4" w:space="0" w:color="auto"/>
            </w:tcBorders>
            <w:shd w:val="clear" w:color="auto" w:fill="auto"/>
            <w:noWrap/>
            <w:vAlign w:val="center"/>
            <w:hideMark/>
          </w:tcPr>
          <w:p w:rsidR="008F2DE0" w:rsidRPr="008F2DE0" w:rsidRDefault="008F2DE0" w:rsidP="006C53B8">
            <w:pPr>
              <w:spacing w:after="120"/>
              <w:jc w:val="center"/>
              <w:rPr>
                <w:color w:val="000000"/>
                <w:sz w:val="24"/>
                <w:szCs w:val="24"/>
              </w:rPr>
            </w:pPr>
            <w:proofErr w:type="gramStart"/>
            <w:r w:rsidRPr="008F2DE0">
              <w:rPr>
                <w:color w:val="000000"/>
                <w:sz w:val="24"/>
                <w:szCs w:val="24"/>
              </w:rPr>
              <w:t>,993</w:t>
            </w:r>
            <w:proofErr w:type="gramEnd"/>
          </w:p>
        </w:tc>
      </w:tr>
      <w:tr w:rsidR="008F2DE0" w:rsidRPr="008F2DE0" w:rsidTr="00AF4B5B">
        <w:trPr>
          <w:trHeight w:val="70"/>
          <w:jc w:val="center"/>
        </w:trPr>
        <w:tc>
          <w:tcPr>
            <w:tcW w:w="2171" w:type="dxa"/>
            <w:tcBorders>
              <w:top w:val="single" w:sz="4" w:space="0" w:color="auto"/>
              <w:bottom w:val="single" w:sz="4" w:space="0" w:color="auto"/>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Coco-da-baía</w:t>
            </w:r>
          </w:p>
        </w:tc>
        <w:tc>
          <w:tcPr>
            <w:tcW w:w="1557" w:type="dxa"/>
            <w:tcBorders>
              <w:top w:val="single" w:sz="4" w:space="0" w:color="auto"/>
              <w:left w:val="nil"/>
              <w:bottom w:val="single" w:sz="4" w:space="0" w:color="auto"/>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4" w:space="0" w:color="auto"/>
              <w:left w:val="nil"/>
              <w:bottom w:val="single" w:sz="4" w:space="0" w:color="auto"/>
            </w:tcBorders>
            <w:shd w:val="clear" w:color="auto" w:fill="auto"/>
            <w:noWrap/>
            <w:vAlign w:val="center"/>
            <w:hideMark/>
          </w:tcPr>
          <w:p w:rsidR="008F2DE0" w:rsidRPr="008F2DE0" w:rsidRDefault="008F2DE0" w:rsidP="006C53B8">
            <w:pPr>
              <w:spacing w:after="120"/>
              <w:jc w:val="center"/>
              <w:rPr>
                <w:color w:val="000000"/>
                <w:sz w:val="24"/>
                <w:szCs w:val="24"/>
              </w:rPr>
            </w:pPr>
            <w:proofErr w:type="gramStart"/>
            <w:r w:rsidRPr="008F2DE0">
              <w:rPr>
                <w:color w:val="000000"/>
                <w:sz w:val="24"/>
                <w:szCs w:val="24"/>
              </w:rPr>
              <w:t>,869</w:t>
            </w:r>
            <w:proofErr w:type="gramEnd"/>
          </w:p>
        </w:tc>
      </w:tr>
      <w:tr w:rsidR="008F2DE0" w:rsidRPr="008F2DE0" w:rsidTr="00AF4B5B">
        <w:trPr>
          <w:trHeight w:val="70"/>
          <w:jc w:val="center"/>
        </w:trPr>
        <w:tc>
          <w:tcPr>
            <w:tcW w:w="2171" w:type="dxa"/>
            <w:tcBorders>
              <w:top w:val="single" w:sz="4" w:space="0" w:color="auto"/>
              <w:bottom w:val="single" w:sz="8" w:space="0" w:color="000000"/>
              <w:right w:val="single" w:sz="8" w:space="0" w:color="000000"/>
            </w:tcBorders>
            <w:shd w:val="clear" w:color="auto" w:fill="auto"/>
            <w:vAlign w:val="center"/>
            <w:hideMark/>
          </w:tcPr>
          <w:p w:rsidR="008F2DE0" w:rsidRPr="008F2DE0" w:rsidRDefault="008F2DE0" w:rsidP="006C53B8">
            <w:pPr>
              <w:spacing w:after="120"/>
              <w:jc w:val="center"/>
              <w:rPr>
                <w:color w:val="000000"/>
                <w:sz w:val="24"/>
                <w:szCs w:val="24"/>
              </w:rPr>
            </w:pPr>
            <w:r w:rsidRPr="008F2DE0">
              <w:rPr>
                <w:color w:val="000000"/>
                <w:sz w:val="24"/>
                <w:szCs w:val="24"/>
              </w:rPr>
              <w:t>Bovinos</w:t>
            </w:r>
          </w:p>
        </w:tc>
        <w:tc>
          <w:tcPr>
            <w:tcW w:w="1557" w:type="dxa"/>
            <w:tcBorders>
              <w:top w:val="single" w:sz="4" w:space="0" w:color="auto"/>
              <w:left w:val="nil"/>
              <w:bottom w:val="single" w:sz="8" w:space="0" w:color="000000"/>
              <w:right w:val="single" w:sz="4" w:space="0" w:color="000000"/>
            </w:tcBorders>
            <w:shd w:val="clear" w:color="auto" w:fill="auto"/>
            <w:noWrap/>
            <w:vAlign w:val="center"/>
            <w:hideMark/>
          </w:tcPr>
          <w:p w:rsidR="008F2DE0" w:rsidRPr="008F2DE0" w:rsidRDefault="008F2DE0" w:rsidP="006C53B8">
            <w:pPr>
              <w:spacing w:after="120"/>
              <w:jc w:val="center"/>
              <w:rPr>
                <w:color w:val="000000"/>
                <w:sz w:val="24"/>
                <w:szCs w:val="24"/>
              </w:rPr>
            </w:pPr>
            <w:r w:rsidRPr="008F2DE0">
              <w:rPr>
                <w:color w:val="000000"/>
                <w:sz w:val="24"/>
                <w:szCs w:val="24"/>
              </w:rPr>
              <w:t>1,000</w:t>
            </w:r>
          </w:p>
        </w:tc>
        <w:tc>
          <w:tcPr>
            <w:tcW w:w="1557" w:type="dxa"/>
            <w:tcBorders>
              <w:top w:val="single" w:sz="4" w:space="0" w:color="auto"/>
              <w:left w:val="nil"/>
              <w:bottom w:val="single" w:sz="8" w:space="0" w:color="000000"/>
            </w:tcBorders>
            <w:shd w:val="clear" w:color="auto" w:fill="auto"/>
            <w:noWrap/>
            <w:vAlign w:val="center"/>
            <w:hideMark/>
          </w:tcPr>
          <w:p w:rsidR="008F2DE0" w:rsidRPr="008F2DE0" w:rsidRDefault="008F2DE0" w:rsidP="006C53B8">
            <w:pPr>
              <w:keepNext/>
              <w:spacing w:after="120"/>
              <w:jc w:val="center"/>
              <w:rPr>
                <w:color w:val="000000"/>
                <w:sz w:val="24"/>
                <w:szCs w:val="24"/>
              </w:rPr>
            </w:pPr>
            <w:proofErr w:type="gramStart"/>
            <w:r w:rsidRPr="008F2DE0">
              <w:rPr>
                <w:color w:val="000000"/>
                <w:sz w:val="24"/>
                <w:szCs w:val="24"/>
              </w:rPr>
              <w:t>,876</w:t>
            </w:r>
            <w:proofErr w:type="gramEnd"/>
          </w:p>
        </w:tc>
      </w:tr>
    </w:tbl>
    <w:p w:rsidR="008F2DE0" w:rsidRPr="008F2DE0" w:rsidRDefault="008F2DE0" w:rsidP="001A44C2">
      <w:pPr>
        <w:widowControl w:val="0"/>
        <w:suppressAutoHyphens/>
        <w:jc w:val="center"/>
        <w:rPr>
          <w:rFonts w:eastAsia="Lucida Sans Unicode"/>
          <w:bCs/>
          <w:kern w:val="1"/>
          <w:sz w:val="22"/>
        </w:rPr>
      </w:pPr>
      <w:r w:rsidRPr="008F2DE0">
        <w:rPr>
          <w:rFonts w:eastAsia="Lucida Sans Unicode"/>
          <w:bCs/>
          <w:kern w:val="1"/>
          <w:sz w:val="22"/>
        </w:rPr>
        <w:t>Fonte: Autores.</w:t>
      </w:r>
    </w:p>
    <w:p w:rsidR="008F2DE0" w:rsidRPr="00E1274A" w:rsidRDefault="008F2DE0" w:rsidP="00D71767">
      <w:pPr>
        <w:widowControl w:val="0"/>
        <w:suppressAutoHyphens/>
        <w:spacing w:line="360" w:lineRule="auto"/>
        <w:jc w:val="both"/>
        <w:rPr>
          <w:rFonts w:eastAsia="Lucida Sans Unicode"/>
          <w:b/>
          <w:kern w:val="1"/>
          <w:sz w:val="24"/>
          <w:szCs w:val="24"/>
          <w:lang w:eastAsia="ar-SA"/>
        </w:rPr>
      </w:pPr>
      <w:r w:rsidRPr="00E1274A">
        <w:rPr>
          <w:rFonts w:eastAsia="Lucida Sans Unicode"/>
          <w:b/>
          <w:kern w:val="1"/>
          <w:sz w:val="24"/>
          <w:szCs w:val="24"/>
          <w:lang w:eastAsia="ar-SA"/>
        </w:rPr>
        <w:t>3.2.4 Análise da regressão linear</w:t>
      </w:r>
    </w:p>
    <w:p w:rsidR="008F2DE0" w:rsidRPr="008F2DE0" w:rsidRDefault="0032674E" w:rsidP="008F2DE0">
      <w:pPr>
        <w:widowControl w:val="0"/>
        <w:suppressAutoHyphens/>
        <w:spacing w:line="360" w:lineRule="auto"/>
        <w:ind w:firstLine="709"/>
        <w:jc w:val="both"/>
        <w:rPr>
          <w:rFonts w:eastAsia="Lucida Sans Unicode"/>
          <w:kern w:val="1"/>
          <w:sz w:val="24"/>
          <w:szCs w:val="24"/>
          <w:lang w:eastAsia="ar-SA"/>
        </w:rPr>
      </w:pPr>
      <w:r>
        <w:rPr>
          <w:rFonts w:eastAsia="Lucida Sans Unicode"/>
          <w:kern w:val="1"/>
          <w:sz w:val="24"/>
          <w:szCs w:val="24"/>
          <w:lang w:eastAsia="ar-SA"/>
        </w:rPr>
        <w:t xml:space="preserve">Através dos fatores obtidos pela análise fatorial foi possível determinar a equação de </w:t>
      </w:r>
      <w:r>
        <w:rPr>
          <w:rFonts w:eastAsia="Lucida Sans Unicode"/>
          <w:kern w:val="1"/>
          <w:sz w:val="24"/>
          <w:szCs w:val="24"/>
          <w:lang w:eastAsia="ar-SA"/>
        </w:rPr>
        <w:lastRenderedPageBreak/>
        <w:t xml:space="preserve">desmatamento em Itaituba, </w:t>
      </w:r>
      <w:r w:rsidR="008F2DE0" w:rsidRPr="008F2DE0">
        <w:rPr>
          <w:rFonts w:eastAsia="Lucida Sans Unicode"/>
          <w:kern w:val="1"/>
          <w:sz w:val="24"/>
          <w:szCs w:val="24"/>
          <w:lang w:eastAsia="ar-SA"/>
        </w:rPr>
        <w:t>para isto utilizou-se os fatores de correlação como variáveis dependentes e a área desmatada em quilômetros quadrado (km²) como variável dependente para a realização da análise de regressão linear que esboçou a seguinte equação:</w:t>
      </w:r>
    </w:p>
    <w:p w:rsidR="008F2DE0" w:rsidRPr="00F54099" w:rsidRDefault="008F2DE0" w:rsidP="00D71767">
      <w:pPr>
        <w:widowControl w:val="0"/>
        <w:suppressAutoHyphens/>
        <w:spacing w:line="360" w:lineRule="auto"/>
        <w:jc w:val="center"/>
        <w:rPr>
          <w:rFonts w:eastAsia="Lucida Sans Unicode"/>
          <w:i/>
          <w:kern w:val="1"/>
          <w:sz w:val="24"/>
          <w:szCs w:val="24"/>
          <w:lang w:eastAsia="ar-SA"/>
        </w:rPr>
      </w:pPr>
      <w:r w:rsidRPr="00F54099">
        <w:rPr>
          <w:rFonts w:eastAsia="Lucida Sans Unicode"/>
          <w:i/>
          <w:kern w:val="1"/>
          <w:sz w:val="24"/>
          <w:szCs w:val="24"/>
          <w:lang w:eastAsia="ar-SA"/>
        </w:rPr>
        <w:t>D = 4199,36 - 456,98F1 - 368,07F2</w:t>
      </w:r>
    </w:p>
    <w:p w:rsidR="008F2DE0" w:rsidRPr="008F2DE0" w:rsidRDefault="008F2DE0" w:rsidP="008F2DE0">
      <w:pPr>
        <w:widowControl w:val="0"/>
        <w:suppressAutoHyphens/>
        <w:spacing w:line="360" w:lineRule="auto"/>
        <w:ind w:firstLine="709"/>
        <w:jc w:val="both"/>
        <w:rPr>
          <w:rFonts w:eastAsia="Lucida Sans Unicode"/>
          <w:kern w:val="1"/>
          <w:sz w:val="24"/>
          <w:szCs w:val="24"/>
          <w:lang w:eastAsia="ar-SA"/>
        </w:rPr>
      </w:pPr>
      <w:r w:rsidRPr="008F2DE0">
        <w:rPr>
          <w:rFonts w:eastAsia="Lucida Sans Unicode"/>
          <w:kern w:val="1"/>
          <w:sz w:val="24"/>
          <w:szCs w:val="24"/>
          <w:lang w:eastAsia="ar-SA"/>
        </w:rPr>
        <w:t xml:space="preserve">Onde na equação, </w:t>
      </w:r>
      <w:r w:rsidR="000F4CB4">
        <w:rPr>
          <w:rFonts w:eastAsia="Lucida Sans Unicode"/>
          <w:kern w:val="1"/>
          <w:sz w:val="24"/>
          <w:szCs w:val="24"/>
          <w:lang w:eastAsia="ar-SA"/>
        </w:rPr>
        <w:t>D</w:t>
      </w:r>
      <w:r w:rsidRPr="008F2DE0">
        <w:rPr>
          <w:rFonts w:eastAsia="Lucida Sans Unicode"/>
          <w:kern w:val="1"/>
          <w:sz w:val="24"/>
          <w:szCs w:val="24"/>
          <w:lang w:eastAsia="ar-SA"/>
        </w:rPr>
        <w:t xml:space="preserve"> é a área desmatada em quilômetros quadrado, F1 é o fator agropecuário e F2 é o fator agricultura familiar.</w:t>
      </w:r>
    </w:p>
    <w:p w:rsidR="008F2DE0" w:rsidRPr="008F2DE0" w:rsidRDefault="008F2DE0" w:rsidP="008F2DE0">
      <w:pPr>
        <w:widowControl w:val="0"/>
        <w:suppressAutoHyphens/>
        <w:spacing w:line="360" w:lineRule="auto"/>
        <w:ind w:firstLine="709"/>
        <w:jc w:val="both"/>
        <w:rPr>
          <w:rFonts w:eastAsia="Lucida Sans Unicode"/>
          <w:kern w:val="1"/>
          <w:sz w:val="24"/>
          <w:szCs w:val="24"/>
          <w:lang w:eastAsia="ar-SA"/>
        </w:rPr>
      </w:pPr>
      <w:r w:rsidRPr="008F2DE0">
        <w:rPr>
          <w:rFonts w:eastAsia="Lucida Sans Unicode"/>
          <w:kern w:val="1"/>
          <w:sz w:val="24"/>
          <w:szCs w:val="24"/>
          <w:lang w:eastAsia="ar-SA"/>
        </w:rPr>
        <w:t>Em se tratando de uma regressão múltipla, o R² ajustado deve ser preferido em relação ao R² e a estatística F, da análise de variância, combinada com o seu valor p, preferida em relação ao R² ajustado.</w:t>
      </w:r>
    </w:p>
    <w:p w:rsidR="008F2DE0" w:rsidRDefault="008F2DE0" w:rsidP="008F2DE0">
      <w:pPr>
        <w:widowControl w:val="0"/>
        <w:suppressAutoHyphens/>
        <w:spacing w:line="360" w:lineRule="auto"/>
        <w:ind w:firstLine="709"/>
        <w:jc w:val="both"/>
        <w:rPr>
          <w:rFonts w:eastAsia="Lucida Sans Unicode"/>
          <w:kern w:val="1"/>
          <w:sz w:val="24"/>
          <w:szCs w:val="24"/>
          <w:lang w:eastAsia="ar-SA"/>
        </w:rPr>
      </w:pPr>
      <w:r w:rsidRPr="008F2DE0">
        <w:rPr>
          <w:rFonts w:eastAsia="Lucida Sans Unicode"/>
          <w:kern w:val="1"/>
          <w:sz w:val="24"/>
          <w:szCs w:val="24"/>
          <w:lang w:eastAsia="ar-SA"/>
        </w:rPr>
        <w:t xml:space="preserve">Para este modelo o R² ou coeficiente de determinação que indica a proporção (ou porcentagem) da variação de Y que é “explicada” pela regressão, ou quanto da variação na variável dependente Y está sendo “explicada” pela variável independente X, foi de, aproximadamente, 97%, assim sendo de acordo com </w:t>
      </w:r>
      <w:proofErr w:type="spellStart"/>
      <w:r w:rsidRPr="008F2DE0">
        <w:rPr>
          <w:rFonts w:eastAsia="Lucida Sans Unicode"/>
          <w:kern w:val="1"/>
          <w:sz w:val="24"/>
          <w:szCs w:val="24"/>
          <w:lang w:eastAsia="ar-SA"/>
        </w:rPr>
        <w:t>Peternelli</w:t>
      </w:r>
      <w:proofErr w:type="spellEnd"/>
      <w:r w:rsidRPr="008F2DE0">
        <w:rPr>
          <w:rFonts w:eastAsia="Lucida Sans Unicode"/>
          <w:kern w:val="1"/>
          <w:sz w:val="24"/>
          <w:szCs w:val="24"/>
          <w:lang w:eastAsia="ar-SA"/>
        </w:rPr>
        <w:t xml:space="preserve"> (2007) um modelo adequado para descrever o fenômeno do desmatamento em Itaituba, já que chega próximo de 100%. Já o F de significação se deu na ordem de 2,72x 10</w:t>
      </w:r>
      <w:r w:rsidRPr="008F2DE0">
        <w:rPr>
          <w:rFonts w:eastAsia="Lucida Sans Unicode"/>
          <w:kern w:val="1"/>
          <w:sz w:val="24"/>
          <w:szCs w:val="24"/>
          <w:vertAlign w:val="superscript"/>
          <w:lang w:eastAsia="ar-SA"/>
        </w:rPr>
        <w:t>-08</w:t>
      </w:r>
      <w:r w:rsidRPr="008F2DE0">
        <w:rPr>
          <w:rFonts w:eastAsia="Lucida Sans Unicode"/>
          <w:kern w:val="1"/>
          <w:sz w:val="24"/>
          <w:szCs w:val="24"/>
          <w:lang w:eastAsia="ar-SA"/>
        </w:rPr>
        <w:t xml:space="preserve">, mostrando assim que de acordo com Jordan &amp; </w:t>
      </w:r>
      <w:proofErr w:type="spellStart"/>
      <w:r w:rsidRPr="008F2DE0">
        <w:rPr>
          <w:rFonts w:eastAsia="Lucida Sans Unicode"/>
          <w:kern w:val="1"/>
          <w:sz w:val="24"/>
          <w:szCs w:val="24"/>
          <w:lang w:eastAsia="ar-SA"/>
        </w:rPr>
        <w:t>Letti</w:t>
      </w:r>
      <w:proofErr w:type="spellEnd"/>
      <w:r w:rsidRPr="008F2DE0">
        <w:rPr>
          <w:rFonts w:eastAsia="Lucida Sans Unicode"/>
          <w:kern w:val="1"/>
          <w:sz w:val="24"/>
          <w:szCs w:val="24"/>
          <w:lang w:eastAsia="ar-SA"/>
        </w:rPr>
        <w:t xml:space="preserve"> (2011) a equação obtida é significativamente aderente, já que o valor do f de significação encontrado é extremamente pequeno. O valor p ou nível descritivo é a probabilidade de que a estatística do teste (como variável aleatória) tenha valor extremo em relação ao valor observado (estatística) quando a hipótese </w:t>
      </w:r>
      <w:r>
        <w:rPr>
          <w:rFonts w:eastAsia="Lucida Sans Unicode"/>
          <w:noProof/>
          <w:kern w:val="1"/>
          <w:sz w:val="24"/>
          <w:szCs w:val="24"/>
        </w:rPr>
        <w:drawing>
          <wp:inline distT="0" distB="0" distL="0" distR="0" wp14:anchorId="5C55B9C6" wp14:editId="5FC4C33C">
            <wp:extent cx="180975" cy="133350"/>
            <wp:effectExtent l="0" t="0" r="9525" b="0"/>
            <wp:docPr id="18" name="Imagem 18" descr="$ H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_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8F2DE0">
        <w:rPr>
          <w:rFonts w:eastAsia="Lucida Sans Unicode"/>
          <w:kern w:val="1"/>
          <w:sz w:val="24"/>
          <w:szCs w:val="24"/>
          <w:lang w:eastAsia="ar-SA"/>
        </w:rPr>
        <w:t xml:space="preserve"> é verdadeira (PETERNELLI, 2007), no modelo aplicado o valor p da variável dependente e do fator </w:t>
      </w:r>
      <w:proofErr w:type="gramStart"/>
      <w:r w:rsidRPr="008F2DE0">
        <w:rPr>
          <w:rFonts w:eastAsia="Lucida Sans Unicode"/>
          <w:kern w:val="1"/>
          <w:sz w:val="24"/>
          <w:szCs w:val="24"/>
          <w:lang w:eastAsia="ar-SA"/>
        </w:rPr>
        <w:t>1</w:t>
      </w:r>
      <w:proofErr w:type="gramEnd"/>
      <w:r w:rsidRPr="008F2DE0">
        <w:rPr>
          <w:rFonts w:eastAsia="Lucida Sans Unicode"/>
          <w:kern w:val="1"/>
          <w:sz w:val="24"/>
          <w:szCs w:val="24"/>
          <w:lang w:eastAsia="ar-SA"/>
        </w:rPr>
        <w:t xml:space="preserve"> e 2, respectivamente, 1,49 x 10</w:t>
      </w:r>
      <w:r w:rsidRPr="008F2DE0">
        <w:rPr>
          <w:rFonts w:eastAsia="Lucida Sans Unicode"/>
          <w:kern w:val="1"/>
          <w:sz w:val="24"/>
          <w:szCs w:val="24"/>
          <w:vertAlign w:val="superscript"/>
          <w:lang w:eastAsia="ar-SA"/>
        </w:rPr>
        <w:t>-17</w:t>
      </w:r>
      <w:r w:rsidRPr="008F2DE0">
        <w:rPr>
          <w:rFonts w:eastAsia="Lucida Sans Unicode"/>
          <w:kern w:val="1"/>
          <w:sz w:val="24"/>
          <w:szCs w:val="24"/>
          <w:lang w:eastAsia="ar-SA"/>
        </w:rPr>
        <w:t>, 7,56 x 10</w:t>
      </w:r>
      <w:r w:rsidRPr="008F2DE0">
        <w:rPr>
          <w:rFonts w:eastAsia="Lucida Sans Unicode"/>
          <w:kern w:val="1"/>
          <w:sz w:val="24"/>
          <w:szCs w:val="24"/>
          <w:vertAlign w:val="superscript"/>
          <w:lang w:eastAsia="ar-SA"/>
        </w:rPr>
        <w:t>-8</w:t>
      </w:r>
      <w:r w:rsidRPr="008F2DE0">
        <w:rPr>
          <w:rFonts w:eastAsia="Lucida Sans Unicode"/>
          <w:kern w:val="1"/>
          <w:sz w:val="24"/>
          <w:szCs w:val="24"/>
          <w:lang w:eastAsia="ar-SA"/>
        </w:rPr>
        <w:t xml:space="preserve"> e 5,82 x 10</w:t>
      </w:r>
      <w:r w:rsidRPr="008F2DE0">
        <w:rPr>
          <w:rFonts w:eastAsia="Lucida Sans Unicode"/>
          <w:kern w:val="1"/>
          <w:sz w:val="24"/>
          <w:szCs w:val="24"/>
          <w:vertAlign w:val="superscript"/>
          <w:lang w:eastAsia="ar-SA"/>
        </w:rPr>
        <w:t>-7</w:t>
      </w:r>
      <w:r w:rsidRPr="008F2DE0">
        <w:rPr>
          <w:rFonts w:eastAsia="Lucida Sans Unicode"/>
          <w:kern w:val="1"/>
          <w:sz w:val="24"/>
          <w:szCs w:val="24"/>
          <w:lang w:eastAsia="ar-SA"/>
        </w:rPr>
        <w:t>, sendo considerados assim significativos para o modelo.</w:t>
      </w:r>
    </w:p>
    <w:p w:rsidR="008F2DE0" w:rsidRPr="008F2DE0" w:rsidRDefault="008F2DE0" w:rsidP="008F2DE0">
      <w:pPr>
        <w:widowControl w:val="0"/>
        <w:suppressAutoHyphens/>
        <w:spacing w:line="360" w:lineRule="auto"/>
        <w:jc w:val="both"/>
        <w:rPr>
          <w:rFonts w:eastAsia="Lucida Sans Unicode"/>
          <w:b/>
          <w:bCs/>
          <w:kern w:val="1"/>
          <w:sz w:val="24"/>
          <w:szCs w:val="24"/>
          <w:lang w:eastAsia="ar-SA"/>
        </w:rPr>
      </w:pPr>
      <w:r>
        <w:rPr>
          <w:rFonts w:eastAsia="Lucida Sans Unicode"/>
          <w:b/>
          <w:bCs/>
          <w:kern w:val="1"/>
          <w:sz w:val="24"/>
          <w:szCs w:val="24"/>
          <w:lang w:eastAsia="ar-SA"/>
        </w:rPr>
        <w:t>4.</w:t>
      </w:r>
      <w:r w:rsidRPr="008F2DE0">
        <w:rPr>
          <w:rFonts w:eastAsia="Lucida Sans Unicode"/>
          <w:b/>
          <w:bCs/>
          <w:kern w:val="1"/>
          <w:sz w:val="24"/>
          <w:szCs w:val="24"/>
          <w:lang w:eastAsia="ar-SA"/>
        </w:rPr>
        <w:t xml:space="preserve"> CONSIDERAÇÔES FINAIS</w:t>
      </w:r>
    </w:p>
    <w:p w:rsidR="008F2DE0" w:rsidRPr="008F2DE0" w:rsidRDefault="008F2DE0" w:rsidP="008F2DE0">
      <w:pPr>
        <w:widowControl w:val="0"/>
        <w:suppressAutoHyphens/>
        <w:spacing w:line="360" w:lineRule="auto"/>
        <w:jc w:val="both"/>
        <w:rPr>
          <w:rFonts w:eastAsia="Lucida Sans Unicode"/>
          <w:kern w:val="1"/>
          <w:sz w:val="24"/>
          <w:szCs w:val="24"/>
          <w:lang w:eastAsia="ar-SA"/>
        </w:rPr>
      </w:pPr>
      <w:r w:rsidRPr="008F2DE0">
        <w:rPr>
          <w:rFonts w:eastAsia="Lucida Sans Unicode"/>
          <w:kern w:val="1"/>
          <w:sz w:val="24"/>
          <w:szCs w:val="24"/>
          <w:lang w:eastAsia="ar-SA"/>
        </w:rPr>
        <w:tab/>
      </w:r>
      <w:r w:rsidR="00500B46">
        <w:rPr>
          <w:rFonts w:eastAsia="Lucida Sans Unicode"/>
          <w:kern w:val="1"/>
          <w:sz w:val="24"/>
          <w:szCs w:val="24"/>
          <w:lang w:eastAsia="ar-SA"/>
        </w:rPr>
        <w:t xml:space="preserve">A </w:t>
      </w:r>
      <w:r w:rsidRPr="008F2DE0">
        <w:rPr>
          <w:rFonts w:eastAsia="Lucida Sans Unicode"/>
          <w:kern w:val="1"/>
          <w:sz w:val="24"/>
          <w:szCs w:val="24"/>
          <w:lang w:eastAsia="ar-SA"/>
        </w:rPr>
        <w:t>análise fatorial apresentou índices estatísticos que comprovam que o modelo proposto é valido para expressar o desfloresta</w:t>
      </w:r>
      <w:r w:rsidR="000B614A">
        <w:rPr>
          <w:rFonts w:eastAsia="Lucida Sans Unicode"/>
          <w:kern w:val="1"/>
          <w:sz w:val="24"/>
          <w:szCs w:val="24"/>
          <w:lang w:eastAsia="ar-SA"/>
        </w:rPr>
        <w:t>mento no município de Itaituba</w:t>
      </w:r>
      <w:r w:rsidRPr="008F2DE0">
        <w:rPr>
          <w:rFonts w:eastAsia="Lucida Sans Unicode"/>
          <w:kern w:val="1"/>
          <w:sz w:val="24"/>
          <w:szCs w:val="24"/>
          <w:lang w:eastAsia="ar-SA"/>
        </w:rPr>
        <w:t>, além do que a equação do desmatamento estabelecida através da análise de regressão linear</w:t>
      </w:r>
      <w:r w:rsidR="00CD7324" w:rsidRPr="008F2DE0">
        <w:rPr>
          <w:rFonts w:eastAsia="Lucida Sans Unicode"/>
          <w:kern w:val="1"/>
          <w:sz w:val="24"/>
          <w:szCs w:val="24"/>
          <w:lang w:eastAsia="ar-SA"/>
        </w:rPr>
        <w:t xml:space="preserve"> apresentou</w:t>
      </w:r>
      <w:r w:rsidRPr="008F2DE0">
        <w:rPr>
          <w:rFonts w:eastAsia="Lucida Sans Unicode"/>
          <w:kern w:val="1"/>
          <w:sz w:val="24"/>
          <w:szCs w:val="24"/>
          <w:lang w:eastAsia="ar-SA"/>
        </w:rPr>
        <w:t xml:space="preserve"> resultados satisfatórios na análise do coeficiente de determinação, f de significação e valor-p, atestando assim a veracidade da equação.</w:t>
      </w:r>
    </w:p>
    <w:p w:rsidR="008F2DE0" w:rsidRDefault="008F2DE0" w:rsidP="008F2DE0">
      <w:pPr>
        <w:widowControl w:val="0"/>
        <w:suppressAutoHyphens/>
        <w:spacing w:line="360" w:lineRule="auto"/>
        <w:jc w:val="both"/>
        <w:rPr>
          <w:rFonts w:eastAsia="Lucida Sans Unicode"/>
          <w:kern w:val="1"/>
          <w:sz w:val="24"/>
          <w:szCs w:val="24"/>
          <w:lang w:eastAsia="ar-SA"/>
        </w:rPr>
      </w:pPr>
      <w:r w:rsidRPr="008F2DE0">
        <w:rPr>
          <w:rFonts w:eastAsia="Lucida Sans Unicode"/>
          <w:kern w:val="1"/>
          <w:sz w:val="24"/>
          <w:szCs w:val="24"/>
          <w:lang w:eastAsia="ar-SA"/>
        </w:rPr>
        <w:tab/>
        <w:t xml:space="preserve">Portanto, a partir da comprovação do modelo estatístico e da equação do desmatamento, </w:t>
      </w:r>
      <w:r w:rsidR="00E1274A" w:rsidRPr="008F2DE0">
        <w:rPr>
          <w:rFonts w:eastAsia="Lucida Sans Unicode"/>
          <w:kern w:val="1"/>
          <w:sz w:val="24"/>
          <w:szCs w:val="24"/>
          <w:lang w:eastAsia="ar-SA"/>
        </w:rPr>
        <w:t>podem</w:t>
      </w:r>
      <w:r w:rsidRPr="008F2DE0">
        <w:rPr>
          <w:rFonts w:eastAsia="Lucida Sans Unicode"/>
          <w:kern w:val="1"/>
          <w:sz w:val="24"/>
          <w:szCs w:val="24"/>
          <w:lang w:eastAsia="ar-SA"/>
        </w:rPr>
        <w:t xml:space="preserve"> ser desenvolvidas políticas públicas para controlar o desmatamento no município, já que foi possível determinar as principais atividades que possuem estreita relação com a transformação </w:t>
      </w:r>
      <w:r w:rsidRPr="008F2DE0">
        <w:rPr>
          <w:rFonts w:eastAsia="Lucida Sans Unicode"/>
          <w:kern w:val="1"/>
          <w:sz w:val="24"/>
          <w:szCs w:val="24"/>
          <w:lang w:eastAsia="ar-SA"/>
        </w:rPr>
        <w:lastRenderedPageBreak/>
        <w:t>de florestas primárias, permitindo assim a criação de um sistema que torne eficaz a gestão e o gerenciamento destas atividades no município.</w:t>
      </w:r>
    </w:p>
    <w:p w:rsidR="008F2DE0" w:rsidRPr="008F2DE0" w:rsidRDefault="008F2DE0" w:rsidP="008F2DE0">
      <w:pPr>
        <w:widowControl w:val="0"/>
        <w:suppressAutoHyphens/>
        <w:spacing w:line="360" w:lineRule="auto"/>
        <w:jc w:val="both"/>
        <w:rPr>
          <w:rFonts w:eastAsia="Lucida Sans Unicode"/>
          <w:kern w:val="1"/>
          <w:sz w:val="24"/>
          <w:szCs w:val="24"/>
          <w:lang w:eastAsia="ar-SA"/>
        </w:rPr>
      </w:pPr>
      <w:r>
        <w:rPr>
          <w:rFonts w:eastAsia="Lucida Sans Unicode"/>
          <w:b/>
          <w:bCs/>
          <w:kern w:val="1"/>
          <w:sz w:val="24"/>
          <w:szCs w:val="24"/>
          <w:lang w:eastAsia="ar-SA"/>
        </w:rPr>
        <w:t>REFERÊNCIAS</w:t>
      </w:r>
    </w:p>
    <w:p w:rsidR="008F2DE0" w:rsidRPr="008F2DE0" w:rsidRDefault="008F2DE0" w:rsidP="00D71767">
      <w:pPr>
        <w:widowControl w:val="0"/>
        <w:suppressAutoHyphens/>
        <w:spacing w:line="360" w:lineRule="auto"/>
        <w:jc w:val="both"/>
        <w:rPr>
          <w:rFonts w:eastAsia="Arial" w:cs="Arial"/>
          <w:color w:val="231F20"/>
          <w:kern w:val="1"/>
          <w:sz w:val="24"/>
          <w:szCs w:val="24"/>
          <w:lang w:eastAsia="ar-SA"/>
        </w:rPr>
      </w:pPr>
      <w:r w:rsidRPr="008F2DE0">
        <w:rPr>
          <w:rFonts w:eastAsia="Arial" w:cs="Arial"/>
          <w:color w:val="000000"/>
          <w:kern w:val="1"/>
          <w:sz w:val="24"/>
          <w:szCs w:val="24"/>
          <w:lang w:eastAsia="ar-SA"/>
        </w:rPr>
        <w:t xml:space="preserve">CASTRO, Edna. </w:t>
      </w:r>
      <w:r w:rsidRPr="008F2DE0">
        <w:rPr>
          <w:rFonts w:eastAsia="TT1137O00" w:cs="TT1137O00"/>
          <w:bCs/>
          <w:color w:val="231F20"/>
          <w:kern w:val="1"/>
          <w:sz w:val="24"/>
          <w:szCs w:val="24"/>
          <w:lang w:eastAsia="ar-SA"/>
        </w:rPr>
        <w:t xml:space="preserve">Dinâmica socioeconômica e desmatamento na Amazônia. </w:t>
      </w:r>
      <w:r w:rsidRPr="008F2DE0">
        <w:rPr>
          <w:rFonts w:eastAsia="TT1131O00" w:cs="TT1131O00"/>
          <w:color w:val="231F20"/>
          <w:kern w:val="1"/>
          <w:sz w:val="24"/>
          <w:szCs w:val="24"/>
          <w:lang w:eastAsia="ar-SA"/>
        </w:rPr>
        <w:t>Novos Cadernos NAEA</w:t>
      </w:r>
      <w:r w:rsidRPr="008F2DE0">
        <w:rPr>
          <w:rFonts w:eastAsia="TT1131O00" w:cs="TT1131O00"/>
          <w:bCs/>
          <w:color w:val="231F20"/>
          <w:kern w:val="1"/>
          <w:sz w:val="24"/>
          <w:szCs w:val="24"/>
          <w:lang w:eastAsia="ar-SA"/>
        </w:rPr>
        <w:t xml:space="preserve"> </w:t>
      </w:r>
      <w:r w:rsidRPr="008F2DE0">
        <w:rPr>
          <w:rFonts w:eastAsia="Arial" w:cs="Arial"/>
          <w:color w:val="231F20"/>
          <w:kern w:val="1"/>
          <w:sz w:val="24"/>
          <w:szCs w:val="24"/>
          <w:lang w:eastAsia="ar-SA"/>
        </w:rPr>
        <w:t>v. 8, n. 2, dez. 2005.</w:t>
      </w:r>
    </w:p>
    <w:p w:rsidR="008F2DE0" w:rsidRPr="008F2DE0" w:rsidRDefault="008F2DE0" w:rsidP="00D71767">
      <w:pPr>
        <w:widowControl w:val="0"/>
        <w:suppressAutoHyphens/>
        <w:spacing w:line="360" w:lineRule="auto"/>
        <w:jc w:val="both"/>
        <w:rPr>
          <w:rFonts w:eastAsia="Arial" w:cs="Arial"/>
          <w:color w:val="231F20"/>
          <w:kern w:val="1"/>
          <w:sz w:val="24"/>
          <w:szCs w:val="24"/>
          <w:lang w:eastAsia="ar-SA"/>
        </w:rPr>
      </w:pPr>
      <w:r w:rsidRPr="008F2DE0">
        <w:rPr>
          <w:rFonts w:eastAsia="Arial" w:cs="Arial"/>
          <w:color w:val="231F20"/>
          <w:kern w:val="1"/>
          <w:sz w:val="24"/>
          <w:szCs w:val="24"/>
          <w:lang w:eastAsia="ar-SA"/>
        </w:rPr>
        <w:t xml:space="preserve">COSTA, Giovani; </w:t>
      </w:r>
      <w:proofErr w:type="spellStart"/>
      <w:r w:rsidRPr="008F2DE0">
        <w:rPr>
          <w:rFonts w:eastAsia="Arial" w:cs="Arial"/>
          <w:color w:val="231F20"/>
          <w:kern w:val="1"/>
          <w:sz w:val="24"/>
          <w:szCs w:val="24"/>
          <w:lang w:eastAsia="ar-SA"/>
        </w:rPr>
        <w:t>Glaucio</w:t>
      </w:r>
      <w:proofErr w:type="spellEnd"/>
      <w:r w:rsidRPr="008F2DE0">
        <w:rPr>
          <w:rFonts w:eastAsia="Arial" w:cs="Arial"/>
          <w:color w:val="231F20"/>
          <w:kern w:val="1"/>
          <w:sz w:val="24"/>
          <w:szCs w:val="24"/>
          <w:lang w:eastAsia="ar-SA"/>
        </w:rPr>
        <w:t xml:space="preserve"> de Oliveira. Um procedimento inferencial para análise fatorial utilizando as técnicas </w:t>
      </w:r>
      <w:proofErr w:type="spellStart"/>
      <w:r w:rsidRPr="008F2DE0">
        <w:rPr>
          <w:rFonts w:eastAsia="Arial" w:cs="Arial"/>
          <w:color w:val="231F20"/>
          <w:kern w:val="1"/>
          <w:sz w:val="24"/>
          <w:szCs w:val="24"/>
          <w:lang w:eastAsia="ar-SA"/>
        </w:rPr>
        <w:t>bootstrap</w:t>
      </w:r>
      <w:proofErr w:type="spellEnd"/>
      <w:r w:rsidRPr="008F2DE0">
        <w:rPr>
          <w:rFonts w:eastAsia="Arial" w:cs="Arial"/>
          <w:color w:val="231F20"/>
          <w:kern w:val="1"/>
          <w:sz w:val="24"/>
          <w:szCs w:val="24"/>
          <w:lang w:eastAsia="ar-SA"/>
        </w:rPr>
        <w:t xml:space="preserve"> e </w:t>
      </w:r>
      <w:proofErr w:type="spellStart"/>
      <w:r w:rsidRPr="008F2DE0">
        <w:rPr>
          <w:rFonts w:eastAsia="Arial" w:cs="Arial"/>
          <w:color w:val="231F20"/>
          <w:kern w:val="1"/>
          <w:sz w:val="24"/>
          <w:szCs w:val="24"/>
          <w:lang w:eastAsia="ar-SA"/>
        </w:rPr>
        <w:t>jackknife</w:t>
      </w:r>
      <w:proofErr w:type="spellEnd"/>
      <w:r w:rsidRPr="008F2DE0">
        <w:rPr>
          <w:rFonts w:eastAsia="Arial" w:cs="Arial"/>
          <w:color w:val="231F20"/>
          <w:kern w:val="1"/>
          <w:sz w:val="24"/>
          <w:szCs w:val="24"/>
          <w:lang w:eastAsia="ar-SA"/>
        </w:rPr>
        <w:t>: construção de intervalos de confiança e testes de hipóteses. Rio de Janeiro, 2006.</w:t>
      </w:r>
    </w:p>
    <w:p w:rsidR="008F2DE0" w:rsidRPr="008F2DE0" w:rsidRDefault="008F2DE0" w:rsidP="00D71767">
      <w:pPr>
        <w:widowControl w:val="0"/>
        <w:suppressAutoHyphens/>
        <w:autoSpaceDE w:val="0"/>
        <w:spacing w:line="360" w:lineRule="auto"/>
        <w:jc w:val="both"/>
        <w:rPr>
          <w:rFonts w:eastAsia="Arial" w:cs="Arial"/>
          <w:color w:val="000000"/>
          <w:kern w:val="1"/>
          <w:sz w:val="24"/>
          <w:szCs w:val="24"/>
          <w:lang w:eastAsia="ar-SA"/>
        </w:rPr>
      </w:pPr>
      <w:r w:rsidRPr="008F2DE0">
        <w:rPr>
          <w:rFonts w:eastAsia="Arial" w:cs="Arial"/>
          <w:color w:val="000000"/>
          <w:kern w:val="1"/>
          <w:sz w:val="24"/>
          <w:szCs w:val="24"/>
          <w:lang w:eastAsia="ar-SA"/>
        </w:rPr>
        <w:t xml:space="preserve">IBGE – SIDRA. Instituto Brasileiro de Geografia de Estatística </w:t>
      </w:r>
      <w:r w:rsidRPr="008F2DE0">
        <w:rPr>
          <w:rFonts w:eastAsia="Arial" w:cs="Arial"/>
          <w:bCs/>
          <w:color w:val="000000"/>
          <w:kern w:val="1"/>
          <w:sz w:val="24"/>
          <w:szCs w:val="24"/>
          <w:lang w:eastAsia="ar-SA"/>
        </w:rPr>
        <w:t>– Produção Pecuária Municipal e Produção Agrícola Municipal</w:t>
      </w:r>
      <w:r w:rsidRPr="008F2DE0">
        <w:rPr>
          <w:rFonts w:eastAsia="Arial" w:cs="Arial"/>
          <w:color w:val="000000"/>
          <w:kern w:val="1"/>
          <w:sz w:val="24"/>
          <w:szCs w:val="24"/>
          <w:lang w:eastAsia="ar-SA"/>
        </w:rPr>
        <w:t xml:space="preserve">. Acesso em 2014. </w:t>
      </w:r>
    </w:p>
    <w:p w:rsidR="008F2DE0" w:rsidRPr="008F2DE0" w:rsidRDefault="008F2DE0" w:rsidP="00D71767">
      <w:pPr>
        <w:widowControl w:val="0"/>
        <w:suppressAutoHyphens/>
        <w:spacing w:line="360" w:lineRule="auto"/>
        <w:jc w:val="both"/>
        <w:rPr>
          <w:rFonts w:eastAsia="Lucida Sans Unicode"/>
          <w:kern w:val="1"/>
          <w:sz w:val="24"/>
          <w:szCs w:val="24"/>
          <w:lang w:eastAsia="ar-SA"/>
        </w:rPr>
      </w:pPr>
      <w:r w:rsidRPr="008F2DE0">
        <w:rPr>
          <w:rFonts w:eastAsia="Lucida Sans Unicode"/>
          <w:kern w:val="1"/>
          <w:sz w:val="24"/>
          <w:szCs w:val="24"/>
          <w:lang w:eastAsia="ar-SA"/>
        </w:rPr>
        <w:t xml:space="preserve">Instituto de Desenvolvimento Econômico, Social e Ambiental do Pará – IDESP. </w:t>
      </w:r>
      <w:r w:rsidRPr="008F2DE0">
        <w:rPr>
          <w:rFonts w:eastAsia="Lucida Sans Unicode"/>
          <w:bCs/>
          <w:kern w:val="1"/>
          <w:sz w:val="24"/>
          <w:szCs w:val="24"/>
          <w:lang w:eastAsia="ar-SA"/>
        </w:rPr>
        <w:t xml:space="preserve">Boletim de desmatamento e focos de calor. </w:t>
      </w:r>
      <w:r w:rsidRPr="008F2DE0">
        <w:rPr>
          <w:rFonts w:eastAsia="Lucida Sans Unicode"/>
          <w:kern w:val="1"/>
          <w:sz w:val="24"/>
          <w:szCs w:val="24"/>
          <w:lang w:eastAsia="ar-SA"/>
        </w:rPr>
        <w:t xml:space="preserve">Maio, 2013. </w:t>
      </w:r>
    </w:p>
    <w:p w:rsidR="008F2DE0" w:rsidRPr="008F2DE0" w:rsidRDefault="008F2DE0" w:rsidP="00D71767">
      <w:pPr>
        <w:widowControl w:val="0"/>
        <w:suppressAutoHyphens/>
        <w:spacing w:line="360" w:lineRule="auto"/>
        <w:jc w:val="both"/>
        <w:rPr>
          <w:rFonts w:eastAsia="Lucida Sans Unicode"/>
          <w:kern w:val="1"/>
          <w:sz w:val="24"/>
          <w:szCs w:val="24"/>
          <w:lang w:eastAsia="ar-SA"/>
        </w:rPr>
      </w:pPr>
      <w:r w:rsidRPr="008F2DE0">
        <w:rPr>
          <w:rFonts w:eastAsia="Lucida Sans Unicode"/>
          <w:kern w:val="1"/>
          <w:sz w:val="24"/>
          <w:szCs w:val="24"/>
          <w:lang w:eastAsia="ar-SA"/>
        </w:rPr>
        <w:t xml:space="preserve">Instituto de Desenvolvimento Econômico, Social e Ambiental do Pará – IDESP. </w:t>
      </w:r>
      <w:r w:rsidRPr="008F2DE0">
        <w:rPr>
          <w:rFonts w:eastAsia="Lucida Sans Unicode"/>
          <w:bCs/>
          <w:kern w:val="1"/>
          <w:sz w:val="24"/>
          <w:szCs w:val="24"/>
          <w:lang w:eastAsia="ar-SA"/>
        </w:rPr>
        <w:t>Estatística Municipal: Itaituba.</w:t>
      </w:r>
      <w:r w:rsidRPr="008F2DE0">
        <w:rPr>
          <w:rFonts w:eastAsia="Lucida Sans Unicode"/>
          <w:kern w:val="1"/>
          <w:sz w:val="24"/>
          <w:szCs w:val="24"/>
          <w:lang w:eastAsia="ar-SA"/>
        </w:rPr>
        <w:t xml:space="preserve"> 2011.</w:t>
      </w:r>
    </w:p>
    <w:p w:rsidR="008F2DE0" w:rsidRPr="008F2DE0" w:rsidRDefault="008F2DE0" w:rsidP="00D71767">
      <w:pPr>
        <w:widowControl w:val="0"/>
        <w:suppressAutoHyphens/>
        <w:spacing w:line="360" w:lineRule="auto"/>
        <w:jc w:val="both"/>
        <w:rPr>
          <w:rFonts w:eastAsia="Arial" w:cs="Arial"/>
          <w:color w:val="000000"/>
          <w:kern w:val="1"/>
          <w:sz w:val="24"/>
          <w:szCs w:val="24"/>
          <w:lang w:eastAsia="ar-SA"/>
        </w:rPr>
      </w:pPr>
      <w:r w:rsidRPr="008F2DE0">
        <w:rPr>
          <w:rFonts w:eastAsia="Arial" w:cs="Arial"/>
          <w:color w:val="000000"/>
          <w:kern w:val="1"/>
          <w:sz w:val="24"/>
          <w:szCs w:val="24"/>
          <w:lang w:eastAsia="ar-SA"/>
        </w:rPr>
        <w:t xml:space="preserve">INPE – Instituto Nacional de Pesquisas Espaciais. </w:t>
      </w:r>
      <w:proofErr w:type="spellStart"/>
      <w:r w:rsidRPr="008F2DE0">
        <w:rPr>
          <w:rFonts w:eastAsia="Arial" w:cs="Arial"/>
          <w:color w:val="000000"/>
          <w:kern w:val="1"/>
          <w:sz w:val="24"/>
          <w:szCs w:val="24"/>
          <w:lang w:eastAsia="ar-SA"/>
        </w:rPr>
        <w:t>Prodes</w:t>
      </w:r>
      <w:proofErr w:type="spellEnd"/>
      <w:r w:rsidRPr="008F2DE0">
        <w:rPr>
          <w:rFonts w:eastAsia="Arial" w:cs="Arial"/>
          <w:color w:val="000000"/>
          <w:kern w:val="1"/>
          <w:sz w:val="24"/>
          <w:szCs w:val="24"/>
          <w:lang w:eastAsia="ar-SA"/>
        </w:rPr>
        <w:t xml:space="preserve"> – Estimativas Municipais. Acessado em 2014. </w:t>
      </w:r>
    </w:p>
    <w:p w:rsidR="008F2DE0" w:rsidRPr="008F2DE0" w:rsidRDefault="008F2DE0" w:rsidP="00D71767">
      <w:pPr>
        <w:widowControl w:val="0"/>
        <w:suppressAutoHyphens/>
        <w:spacing w:line="360" w:lineRule="auto"/>
        <w:jc w:val="both"/>
        <w:rPr>
          <w:rFonts w:eastAsia="Arial" w:cs="Arial"/>
          <w:color w:val="000000"/>
          <w:kern w:val="1"/>
          <w:sz w:val="24"/>
          <w:szCs w:val="24"/>
          <w:lang w:eastAsia="ar-SA"/>
        </w:rPr>
      </w:pPr>
      <w:r w:rsidRPr="008F2DE0">
        <w:rPr>
          <w:rFonts w:eastAsia="Arial" w:cs="Arial"/>
          <w:color w:val="000000"/>
          <w:kern w:val="1"/>
          <w:sz w:val="24"/>
          <w:szCs w:val="24"/>
          <w:lang w:eastAsia="ar-SA"/>
        </w:rPr>
        <w:t>JORDAN, Johnny Rocha; LETTI, Giovanni. Utilização da análise regressão múltipla em estação de tratamento de efluentes de indústria papeleira. Belo Horizonte, 2011.</w:t>
      </w:r>
    </w:p>
    <w:p w:rsidR="008F2DE0" w:rsidRPr="008F2DE0" w:rsidRDefault="008F2DE0" w:rsidP="00D71767">
      <w:pPr>
        <w:widowControl w:val="0"/>
        <w:suppressAutoHyphens/>
        <w:autoSpaceDE w:val="0"/>
        <w:spacing w:line="360" w:lineRule="auto"/>
        <w:jc w:val="both"/>
        <w:rPr>
          <w:rFonts w:eastAsia="Arial" w:cs="Arial"/>
          <w:color w:val="000000"/>
          <w:kern w:val="1"/>
          <w:sz w:val="24"/>
          <w:szCs w:val="24"/>
          <w:lang w:eastAsia="ar-SA"/>
        </w:rPr>
      </w:pPr>
      <w:r w:rsidRPr="008F2DE0">
        <w:rPr>
          <w:rFonts w:eastAsia="Arial" w:cs="Arial"/>
          <w:color w:val="000000"/>
          <w:kern w:val="1"/>
          <w:sz w:val="24"/>
          <w:szCs w:val="24"/>
          <w:lang w:eastAsia="ar-SA"/>
        </w:rPr>
        <w:t xml:space="preserve">LE MOAL, Maira. </w:t>
      </w:r>
      <w:r w:rsidRPr="008F2DE0">
        <w:rPr>
          <w:rFonts w:eastAsia="Arial" w:cs="Arial"/>
          <w:bCs/>
          <w:color w:val="000000"/>
          <w:kern w:val="1"/>
          <w:sz w:val="24"/>
          <w:szCs w:val="24"/>
          <w:lang w:eastAsia="ar-SA"/>
        </w:rPr>
        <w:t xml:space="preserve">O desafio de se pensar o desenvolvimento territorial numa nova fronteira da Amazônia brasileira. </w:t>
      </w:r>
      <w:r w:rsidRPr="008F2DE0">
        <w:rPr>
          <w:rFonts w:eastAsia="Arial" w:cs="Arial"/>
          <w:color w:val="000000"/>
          <w:kern w:val="1"/>
          <w:sz w:val="24"/>
          <w:szCs w:val="24"/>
          <w:lang w:eastAsia="ar-SA"/>
        </w:rPr>
        <w:t xml:space="preserve">Relatório de trabalho de conclusão de curso de engenheiro agrônomo. Março – setembro, 2007.  </w:t>
      </w:r>
    </w:p>
    <w:p w:rsidR="008F2DE0" w:rsidRPr="00D71767" w:rsidRDefault="008F2DE0" w:rsidP="00D71767">
      <w:pPr>
        <w:widowControl w:val="0"/>
        <w:suppressAutoHyphens/>
        <w:spacing w:line="360" w:lineRule="auto"/>
        <w:jc w:val="both"/>
        <w:rPr>
          <w:rFonts w:eastAsia="Arial" w:cs="Arial"/>
          <w:color w:val="000000"/>
          <w:kern w:val="1"/>
          <w:sz w:val="24"/>
          <w:szCs w:val="24"/>
          <w:lang w:eastAsia="ar-SA"/>
        </w:rPr>
      </w:pPr>
      <w:r w:rsidRPr="008F2DE0">
        <w:rPr>
          <w:rFonts w:eastAsia="Arial" w:cs="Arial"/>
          <w:color w:val="000000"/>
          <w:kern w:val="1"/>
          <w:sz w:val="24"/>
          <w:szCs w:val="24"/>
          <w:lang w:eastAsia="ar-SA"/>
        </w:rPr>
        <w:t xml:space="preserve">MARTINS, Carlos. </w:t>
      </w:r>
      <w:r w:rsidRPr="008F2DE0">
        <w:rPr>
          <w:rFonts w:eastAsia="Arial" w:cs="Arial"/>
          <w:bCs/>
          <w:color w:val="000000"/>
          <w:kern w:val="1"/>
          <w:sz w:val="24"/>
          <w:szCs w:val="24"/>
          <w:lang w:eastAsia="ar-SA"/>
        </w:rPr>
        <w:t>Análise econométrica do desmatamento no estado do Pará.</w:t>
      </w:r>
      <w:r w:rsidR="00D71767" w:rsidRPr="00D71767">
        <w:rPr>
          <w:rFonts w:eastAsia="Arial" w:cs="Arial"/>
          <w:color w:val="000000"/>
          <w:kern w:val="1"/>
          <w:sz w:val="24"/>
          <w:szCs w:val="24"/>
          <w:lang w:eastAsia="ar-SA"/>
        </w:rPr>
        <w:t xml:space="preserve"> 2009. </w:t>
      </w:r>
      <w:r w:rsidRPr="008F2DE0">
        <w:rPr>
          <w:rFonts w:eastAsia="Arial" w:cs="Arial"/>
          <w:bCs/>
          <w:color w:val="000000"/>
          <w:kern w:val="1"/>
          <w:sz w:val="24"/>
          <w:szCs w:val="24"/>
          <w:lang w:eastAsia="ar-SA"/>
        </w:rPr>
        <w:t>Ministério do Meio Ambiente – MMA.</w:t>
      </w:r>
      <w:r w:rsidRPr="008F2DE0">
        <w:rPr>
          <w:rFonts w:eastAsia="Arial" w:cs="Arial"/>
          <w:color w:val="000000"/>
          <w:kern w:val="1"/>
          <w:sz w:val="24"/>
          <w:szCs w:val="24"/>
          <w:lang w:eastAsia="ar-SA"/>
        </w:rPr>
        <w:t xml:space="preserve"> Data desconhecida. Acesso 2014.</w:t>
      </w:r>
    </w:p>
    <w:p w:rsidR="008F2DE0" w:rsidRPr="008F2DE0" w:rsidRDefault="008F2DE0" w:rsidP="00D71767">
      <w:pPr>
        <w:widowControl w:val="0"/>
        <w:suppressAutoHyphens/>
        <w:spacing w:line="360" w:lineRule="auto"/>
        <w:jc w:val="both"/>
        <w:rPr>
          <w:rFonts w:eastAsia="Arial" w:cs="Arial"/>
          <w:color w:val="000000"/>
          <w:kern w:val="1"/>
          <w:sz w:val="24"/>
          <w:szCs w:val="24"/>
          <w:lang w:eastAsia="ar-SA"/>
        </w:rPr>
      </w:pPr>
      <w:r w:rsidRPr="008F2DE0">
        <w:rPr>
          <w:rFonts w:eastAsia="Arial" w:cs="Arial"/>
          <w:kern w:val="1"/>
          <w:sz w:val="24"/>
          <w:szCs w:val="24"/>
          <w:lang w:eastAsia="ar-SA"/>
        </w:rPr>
        <w:t xml:space="preserve">PENA, </w:t>
      </w:r>
      <w:proofErr w:type="spellStart"/>
      <w:r w:rsidRPr="008F2DE0">
        <w:rPr>
          <w:rFonts w:eastAsia="Arial" w:cs="Arial"/>
          <w:kern w:val="1"/>
          <w:sz w:val="24"/>
          <w:szCs w:val="24"/>
          <w:lang w:eastAsia="ar-SA"/>
        </w:rPr>
        <w:t>Heriberto</w:t>
      </w:r>
      <w:proofErr w:type="spellEnd"/>
      <w:r w:rsidRPr="008F2DE0">
        <w:rPr>
          <w:rFonts w:eastAsia="Arial" w:cs="Arial"/>
          <w:kern w:val="1"/>
          <w:sz w:val="24"/>
          <w:szCs w:val="24"/>
          <w:lang w:eastAsia="ar-SA"/>
        </w:rPr>
        <w:t>; DE OLIVEIRA, Francisco e CAMPOS, Pedro</w:t>
      </w:r>
      <w:r w:rsidRPr="008F2DE0">
        <w:rPr>
          <w:kern w:val="1"/>
          <w:sz w:val="24"/>
          <w:szCs w:val="24"/>
          <w:lang w:eastAsia="ar-SA"/>
        </w:rPr>
        <w:t>.</w:t>
      </w:r>
      <w:r w:rsidRPr="008F2DE0">
        <w:rPr>
          <w:bCs/>
          <w:kern w:val="1"/>
          <w:sz w:val="24"/>
          <w:szCs w:val="24"/>
          <w:lang w:eastAsia="ar-SA"/>
        </w:rPr>
        <w:t xml:space="preserve"> Análise multivariada e identificação dos padrões de desflorestamento no estado do Pará-Amazônia-Brasil, 2000 Á 2009.</w:t>
      </w:r>
      <w:r w:rsidRPr="008F2DE0">
        <w:rPr>
          <w:kern w:val="1"/>
          <w:sz w:val="24"/>
          <w:szCs w:val="24"/>
          <w:lang w:eastAsia="ar-SA"/>
        </w:rPr>
        <w:t xml:space="preserve"> </w:t>
      </w:r>
      <w:r w:rsidRPr="008F2DE0">
        <w:rPr>
          <w:kern w:val="1"/>
          <w:sz w:val="24"/>
          <w:szCs w:val="24"/>
          <w:lang w:val="es-ES_tradnl" w:eastAsia="ar-SA"/>
        </w:rPr>
        <w:t>E</w:t>
      </w:r>
      <w:r w:rsidRPr="008F2DE0">
        <w:rPr>
          <w:rFonts w:eastAsia="Arial" w:cs="Arial"/>
          <w:kern w:val="1"/>
          <w:sz w:val="24"/>
          <w:szCs w:val="24"/>
          <w:lang w:val="es-ES_tradnl" w:eastAsia="ar-SA"/>
        </w:rPr>
        <w:t>n Contribuciones a las Ciencias Sociales, agosto 2011.</w:t>
      </w:r>
    </w:p>
    <w:p w:rsidR="009B0125" w:rsidRDefault="008F2DE0" w:rsidP="006C53B8">
      <w:pPr>
        <w:widowControl w:val="0"/>
        <w:tabs>
          <w:tab w:val="left" w:pos="709"/>
        </w:tabs>
        <w:suppressAutoHyphens/>
        <w:spacing w:after="120" w:line="360" w:lineRule="auto"/>
        <w:jc w:val="both"/>
        <w:rPr>
          <w:rFonts w:eastAsia="Arial" w:cs="Arial"/>
          <w:kern w:val="1"/>
          <w:sz w:val="24"/>
          <w:szCs w:val="24"/>
          <w:lang w:eastAsia="ar-SA"/>
        </w:rPr>
      </w:pPr>
      <w:r w:rsidRPr="00D71767">
        <w:rPr>
          <w:rFonts w:eastAsia="Arial" w:cs="Arial"/>
          <w:kern w:val="1"/>
          <w:sz w:val="24"/>
          <w:szCs w:val="24"/>
          <w:lang w:val="es-ES_tradnl" w:eastAsia="ar-SA"/>
        </w:rPr>
        <w:t xml:space="preserve">PETERNELLI, </w:t>
      </w:r>
      <w:proofErr w:type="spellStart"/>
      <w:r w:rsidRPr="00D71767">
        <w:rPr>
          <w:rFonts w:eastAsia="Arial" w:cs="Arial"/>
          <w:kern w:val="1"/>
          <w:sz w:val="24"/>
          <w:szCs w:val="24"/>
          <w:lang w:val="es-ES_tradnl" w:eastAsia="ar-SA"/>
        </w:rPr>
        <w:t>Luiz</w:t>
      </w:r>
      <w:proofErr w:type="spellEnd"/>
      <w:r w:rsidRPr="00D71767">
        <w:rPr>
          <w:rFonts w:eastAsia="Arial" w:cs="Arial"/>
          <w:kern w:val="1"/>
          <w:sz w:val="24"/>
          <w:szCs w:val="24"/>
          <w:lang w:val="es-ES_tradnl" w:eastAsia="ar-SA"/>
        </w:rPr>
        <w:t xml:space="preserve"> Alexandre. </w:t>
      </w:r>
      <w:r w:rsidR="00D71767" w:rsidRPr="00D71767">
        <w:rPr>
          <w:rFonts w:eastAsia="Arial" w:cs="Arial"/>
          <w:kern w:val="1"/>
          <w:sz w:val="24"/>
          <w:szCs w:val="24"/>
          <w:lang w:eastAsia="ar-SA"/>
        </w:rPr>
        <w:t>Estatística</w:t>
      </w:r>
      <w:r w:rsidRPr="00D71767">
        <w:rPr>
          <w:rFonts w:eastAsia="Arial" w:cs="Arial"/>
          <w:kern w:val="1"/>
          <w:sz w:val="24"/>
          <w:szCs w:val="24"/>
          <w:lang w:eastAsia="ar-SA"/>
        </w:rPr>
        <w:t xml:space="preserve"> I. Viçosa, 2006.</w:t>
      </w:r>
    </w:p>
    <w:p w:rsidR="005B53E6" w:rsidRPr="0012462E" w:rsidRDefault="005B53E6" w:rsidP="006C53B8">
      <w:pPr>
        <w:widowControl w:val="0"/>
        <w:tabs>
          <w:tab w:val="left" w:pos="709"/>
        </w:tabs>
        <w:suppressAutoHyphens/>
        <w:spacing w:after="120" w:line="360" w:lineRule="auto"/>
        <w:jc w:val="both"/>
      </w:pPr>
    </w:p>
    <w:sectPr w:rsidR="005B53E6" w:rsidRPr="0012462E" w:rsidSect="00353EEF">
      <w:headerReference w:type="default" r:id="rId11"/>
      <w:footerReference w:type="default" r:id="rId12"/>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BA" w:rsidRDefault="002578BA" w:rsidP="00392012">
      <w:r>
        <w:separator/>
      </w:r>
    </w:p>
  </w:endnote>
  <w:endnote w:type="continuationSeparator" w:id="0">
    <w:p w:rsidR="002578BA" w:rsidRDefault="002578BA"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T1137O00">
    <w:charset w:val="00"/>
    <w:family w:val="auto"/>
    <w:pitch w:val="default"/>
  </w:font>
  <w:font w:name="TT1131O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BA" w:rsidRDefault="002578BA" w:rsidP="00392012">
      <w:r>
        <w:separator/>
      </w:r>
    </w:p>
  </w:footnote>
  <w:footnote w:type="continuationSeparator" w:id="0">
    <w:p w:rsidR="002578BA" w:rsidRDefault="002578BA"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676CDF">
    <w:pPr>
      <w:pStyle w:val="Cabealho"/>
      <w:pBdr>
        <w:bottom w:val="single" w:sz="4" w:space="18" w:color="auto"/>
      </w:pBdr>
      <w:tabs>
        <w:tab w:val="clear" w:pos="4252"/>
        <w:tab w:val="clear" w:pos="8504"/>
        <w:tab w:val="left" w:pos="810"/>
      </w:tabs>
      <w:rPr>
        <w:noProof/>
      </w:rPr>
    </w:pPr>
    <w:r>
      <w:rPr>
        <w:noProof/>
      </w:rPr>
      <mc:AlternateContent>
        <mc:Choice Requires="wps">
          <w:drawing>
            <wp:anchor distT="0" distB="0" distL="114300" distR="114300" simplePos="0" relativeHeight="251656192" behindDoc="0" locked="0" layoutInCell="1" allowOverlap="1" wp14:anchorId="5F5E5CED" wp14:editId="421FDB8C">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5B364F77" wp14:editId="4D937E9E">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14:anchorId="5866918E" wp14:editId="71EAD444">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14:anchorId="5866918E" wp14:editId="71EAD444">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6F5F"/>
    <w:rsid w:val="000272D0"/>
    <w:rsid w:val="00027D99"/>
    <w:rsid w:val="00033639"/>
    <w:rsid w:val="00046262"/>
    <w:rsid w:val="000509A8"/>
    <w:rsid w:val="00061494"/>
    <w:rsid w:val="00076CED"/>
    <w:rsid w:val="00094A6D"/>
    <w:rsid w:val="000A330D"/>
    <w:rsid w:val="000B0814"/>
    <w:rsid w:val="000B3AD5"/>
    <w:rsid w:val="000B614A"/>
    <w:rsid w:val="000E0A74"/>
    <w:rsid w:val="000F4CB4"/>
    <w:rsid w:val="000F7B8F"/>
    <w:rsid w:val="001046E6"/>
    <w:rsid w:val="001179C2"/>
    <w:rsid w:val="00121F29"/>
    <w:rsid w:val="0012462E"/>
    <w:rsid w:val="00124C07"/>
    <w:rsid w:val="00131735"/>
    <w:rsid w:val="00144DDF"/>
    <w:rsid w:val="00160D2E"/>
    <w:rsid w:val="001821E8"/>
    <w:rsid w:val="00195E0E"/>
    <w:rsid w:val="0019680A"/>
    <w:rsid w:val="00197252"/>
    <w:rsid w:val="001A44C2"/>
    <w:rsid w:val="001A706A"/>
    <w:rsid w:val="001B1308"/>
    <w:rsid w:val="001B3370"/>
    <w:rsid w:val="001B6E63"/>
    <w:rsid w:val="001C7011"/>
    <w:rsid w:val="001C7356"/>
    <w:rsid w:val="001C79FB"/>
    <w:rsid w:val="001D56BB"/>
    <w:rsid w:val="001D63A0"/>
    <w:rsid w:val="001E4B90"/>
    <w:rsid w:val="00200B13"/>
    <w:rsid w:val="00202A94"/>
    <w:rsid w:val="00206969"/>
    <w:rsid w:val="002076EF"/>
    <w:rsid w:val="00220EE8"/>
    <w:rsid w:val="0024156F"/>
    <w:rsid w:val="0024285C"/>
    <w:rsid w:val="00253593"/>
    <w:rsid w:val="00253D7B"/>
    <w:rsid w:val="002554F3"/>
    <w:rsid w:val="002578BA"/>
    <w:rsid w:val="00261E93"/>
    <w:rsid w:val="00266B68"/>
    <w:rsid w:val="00270F09"/>
    <w:rsid w:val="00273A6E"/>
    <w:rsid w:val="00291A6D"/>
    <w:rsid w:val="002A456B"/>
    <w:rsid w:val="002B4C8E"/>
    <w:rsid w:val="002B5707"/>
    <w:rsid w:val="002C04FA"/>
    <w:rsid w:val="002C0789"/>
    <w:rsid w:val="002C3F9C"/>
    <w:rsid w:val="002D0D27"/>
    <w:rsid w:val="002F114A"/>
    <w:rsid w:val="002F2604"/>
    <w:rsid w:val="002F37D6"/>
    <w:rsid w:val="002F7A5C"/>
    <w:rsid w:val="00314A42"/>
    <w:rsid w:val="0032674E"/>
    <w:rsid w:val="00330AA8"/>
    <w:rsid w:val="00334ABB"/>
    <w:rsid w:val="00353EEF"/>
    <w:rsid w:val="00356B0A"/>
    <w:rsid w:val="00371577"/>
    <w:rsid w:val="00372163"/>
    <w:rsid w:val="00392012"/>
    <w:rsid w:val="003A4B26"/>
    <w:rsid w:val="003B02AD"/>
    <w:rsid w:val="003B090B"/>
    <w:rsid w:val="003D0994"/>
    <w:rsid w:val="003E1ADB"/>
    <w:rsid w:val="0040069D"/>
    <w:rsid w:val="004006AC"/>
    <w:rsid w:val="00400D61"/>
    <w:rsid w:val="004043F9"/>
    <w:rsid w:val="0042057D"/>
    <w:rsid w:val="00420D2D"/>
    <w:rsid w:val="00420F84"/>
    <w:rsid w:val="00422D2D"/>
    <w:rsid w:val="00422D99"/>
    <w:rsid w:val="00425646"/>
    <w:rsid w:val="00426747"/>
    <w:rsid w:val="00426873"/>
    <w:rsid w:val="00436326"/>
    <w:rsid w:val="004365F3"/>
    <w:rsid w:val="004709D3"/>
    <w:rsid w:val="004741CC"/>
    <w:rsid w:val="004777CC"/>
    <w:rsid w:val="00491C0C"/>
    <w:rsid w:val="00497F38"/>
    <w:rsid w:val="004B03F7"/>
    <w:rsid w:val="004C52D5"/>
    <w:rsid w:val="004C746A"/>
    <w:rsid w:val="004D0633"/>
    <w:rsid w:val="004D2219"/>
    <w:rsid w:val="004F3394"/>
    <w:rsid w:val="004F6258"/>
    <w:rsid w:val="00500B46"/>
    <w:rsid w:val="00511E8F"/>
    <w:rsid w:val="00513CCE"/>
    <w:rsid w:val="005159DA"/>
    <w:rsid w:val="00520231"/>
    <w:rsid w:val="005225D5"/>
    <w:rsid w:val="00555769"/>
    <w:rsid w:val="005623F3"/>
    <w:rsid w:val="00563D89"/>
    <w:rsid w:val="00565F79"/>
    <w:rsid w:val="00573FE7"/>
    <w:rsid w:val="00587A91"/>
    <w:rsid w:val="005B2172"/>
    <w:rsid w:val="005B53E6"/>
    <w:rsid w:val="005C30DE"/>
    <w:rsid w:val="005C6204"/>
    <w:rsid w:val="005D71A6"/>
    <w:rsid w:val="005E616C"/>
    <w:rsid w:val="005E6909"/>
    <w:rsid w:val="00610CCB"/>
    <w:rsid w:val="00612D68"/>
    <w:rsid w:val="00614FB7"/>
    <w:rsid w:val="0061672B"/>
    <w:rsid w:val="00616DDB"/>
    <w:rsid w:val="006201D8"/>
    <w:rsid w:val="0063257A"/>
    <w:rsid w:val="006376C3"/>
    <w:rsid w:val="0066022A"/>
    <w:rsid w:val="00676CDF"/>
    <w:rsid w:val="0068555A"/>
    <w:rsid w:val="006B25BE"/>
    <w:rsid w:val="006B328F"/>
    <w:rsid w:val="006C53B8"/>
    <w:rsid w:val="006D43B5"/>
    <w:rsid w:val="006F4D49"/>
    <w:rsid w:val="00707D9F"/>
    <w:rsid w:val="00715A5D"/>
    <w:rsid w:val="007218EB"/>
    <w:rsid w:val="00726C72"/>
    <w:rsid w:val="00727E44"/>
    <w:rsid w:val="00730CF4"/>
    <w:rsid w:val="007422FB"/>
    <w:rsid w:val="007452FD"/>
    <w:rsid w:val="007479BA"/>
    <w:rsid w:val="00757998"/>
    <w:rsid w:val="00760822"/>
    <w:rsid w:val="0076407B"/>
    <w:rsid w:val="007B1EDB"/>
    <w:rsid w:val="007D15C8"/>
    <w:rsid w:val="007D58F5"/>
    <w:rsid w:val="007E0532"/>
    <w:rsid w:val="007E40D8"/>
    <w:rsid w:val="007F12C3"/>
    <w:rsid w:val="00802659"/>
    <w:rsid w:val="008030DD"/>
    <w:rsid w:val="00811FDD"/>
    <w:rsid w:val="00814223"/>
    <w:rsid w:val="0082600A"/>
    <w:rsid w:val="0083077E"/>
    <w:rsid w:val="00834BE9"/>
    <w:rsid w:val="0083697D"/>
    <w:rsid w:val="0084625A"/>
    <w:rsid w:val="00852788"/>
    <w:rsid w:val="00856747"/>
    <w:rsid w:val="00863A0D"/>
    <w:rsid w:val="008644EF"/>
    <w:rsid w:val="008922FD"/>
    <w:rsid w:val="008B0BC7"/>
    <w:rsid w:val="008F146A"/>
    <w:rsid w:val="008F2DE0"/>
    <w:rsid w:val="008F434C"/>
    <w:rsid w:val="008F4736"/>
    <w:rsid w:val="009078C3"/>
    <w:rsid w:val="009157B9"/>
    <w:rsid w:val="00927BA9"/>
    <w:rsid w:val="009331C3"/>
    <w:rsid w:val="00946A2D"/>
    <w:rsid w:val="0095437F"/>
    <w:rsid w:val="0095797F"/>
    <w:rsid w:val="00961709"/>
    <w:rsid w:val="00964A39"/>
    <w:rsid w:val="0097264E"/>
    <w:rsid w:val="009935BB"/>
    <w:rsid w:val="009962E6"/>
    <w:rsid w:val="009965FA"/>
    <w:rsid w:val="009B0125"/>
    <w:rsid w:val="009C407A"/>
    <w:rsid w:val="009D5F95"/>
    <w:rsid w:val="009D6FE6"/>
    <w:rsid w:val="009E2D07"/>
    <w:rsid w:val="00A126BC"/>
    <w:rsid w:val="00A14A7B"/>
    <w:rsid w:val="00A22AF6"/>
    <w:rsid w:val="00A26486"/>
    <w:rsid w:val="00A3575E"/>
    <w:rsid w:val="00A35E06"/>
    <w:rsid w:val="00A44148"/>
    <w:rsid w:val="00A506A0"/>
    <w:rsid w:val="00A522B1"/>
    <w:rsid w:val="00A57710"/>
    <w:rsid w:val="00A70FC7"/>
    <w:rsid w:val="00A77CA4"/>
    <w:rsid w:val="00A92240"/>
    <w:rsid w:val="00A9494E"/>
    <w:rsid w:val="00AA617C"/>
    <w:rsid w:val="00AA6E9E"/>
    <w:rsid w:val="00AF4B5B"/>
    <w:rsid w:val="00AF4C54"/>
    <w:rsid w:val="00B03F68"/>
    <w:rsid w:val="00B259FE"/>
    <w:rsid w:val="00B40020"/>
    <w:rsid w:val="00B55AB2"/>
    <w:rsid w:val="00B57829"/>
    <w:rsid w:val="00B64760"/>
    <w:rsid w:val="00B7165F"/>
    <w:rsid w:val="00B84589"/>
    <w:rsid w:val="00B853FD"/>
    <w:rsid w:val="00B864F5"/>
    <w:rsid w:val="00B87889"/>
    <w:rsid w:val="00BB2377"/>
    <w:rsid w:val="00BB5D54"/>
    <w:rsid w:val="00BC29A4"/>
    <w:rsid w:val="00BD2E25"/>
    <w:rsid w:val="00BD3FDA"/>
    <w:rsid w:val="00BE10B2"/>
    <w:rsid w:val="00BF04DA"/>
    <w:rsid w:val="00BF08DF"/>
    <w:rsid w:val="00BF5246"/>
    <w:rsid w:val="00BF7AD6"/>
    <w:rsid w:val="00C100B9"/>
    <w:rsid w:val="00C10221"/>
    <w:rsid w:val="00C15CD1"/>
    <w:rsid w:val="00C367E1"/>
    <w:rsid w:val="00C41918"/>
    <w:rsid w:val="00C46A3C"/>
    <w:rsid w:val="00C575E4"/>
    <w:rsid w:val="00C63569"/>
    <w:rsid w:val="00C70228"/>
    <w:rsid w:val="00C71504"/>
    <w:rsid w:val="00C71785"/>
    <w:rsid w:val="00C7399D"/>
    <w:rsid w:val="00C87E54"/>
    <w:rsid w:val="00C92CAE"/>
    <w:rsid w:val="00CA71A9"/>
    <w:rsid w:val="00CB7D10"/>
    <w:rsid w:val="00CC5C92"/>
    <w:rsid w:val="00CC79D3"/>
    <w:rsid w:val="00CD3E3D"/>
    <w:rsid w:val="00CD7324"/>
    <w:rsid w:val="00CE45A6"/>
    <w:rsid w:val="00CE4F5C"/>
    <w:rsid w:val="00CE581B"/>
    <w:rsid w:val="00D0394C"/>
    <w:rsid w:val="00D048E7"/>
    <w:rsid w:val="00D13969"/>
    <w:rsid w:val="00D34D39"/>
    <w:rsid w:val="00D40455"/>
    <w:rsid w:val="00D507CA"/>
    <w:rsid w:val="00D66D9D"/>
    <w:rsid w:val="00D71767"/>
    <w:rsid w:val="00DA0B68"/>
    <w:rsid w:val="00DA38D5"/>
    <w:rsid w:val="00DA753C"/>
    <w:rsid w:val="00DB67E5"/>
    <w:rsid w:val="00DC31F5"/>
    <w:rsid w:val="00DC5C31"/>
    <w:rsid w:val="00E05E73"/>
    <w:rsid w:val="00E0707A"/>
    <w:rsid w:val="00E1274A"/>
    <w:rsid w:val="00E34F91"/>
    <w:rsid w:val="00E508C2"/>
    <w:rsid w:val="00E63595"/>
    <w:rsid w:val="00E753BE"/>
    <w:rsid w:val="00E76DCA"/>
    <w:rsid w:val="00E85C97"/>
    <w:rsid w:val="00E87C05"/>
    <w:rsid w:val="00EA6802"/>
    <w:rsid w:val="00EB277E"/>
    <w:rsid w:val="00EC6764"/>
    <w:rsid w:val="00ED7412"/>
    <w:rsid w:val="00EE10D2"/>
    <w:rsid w:val="00EE4602"/>
    <w:rsid w:val="00EE46B7"/>
    <w:rsid w:val="00EF1C09"/>
    <w:rsid w:val="00EF273F"/>
    <w:rsid w:val="00F06F8F"/>
    <w:rsid w:val="00F253D0"/>
    <w:rsid w:val="00F41357"/>
    <w:rsid w:val="00F43D66"/>
    <w:rsid w:val="00F45B6A"/>
    <w:rsid w:val="00F47276"/>
    <w:rsid w:val="00F5269B"/>
    <w:rsid w:val="00F528A5"/>
    <w:rsid w:val="00F54099"/>
    <w:rsid w:val="00F624A0"/>
    <w:rsid w:val="00F67AA9"/>
    <w:rsid w:val="00F72608"/>
    <w:rsid w:val="00F75762"/>
    <w:rsid w:val="00F76C81"/>
    <w:rsid w:val="00FB6399"/>
    <w:rsid w:val="00FC60BD"/>
    <w:rsid w:val="00FD1A32"/>
    <w:rsid w:val="00FE12A7"/>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6035">
      <w:bodyDiv w:val="1"/>
      <w:marLeft w:val="0"/>
      <w:marRight w:val="0"/>
      <w:marTop w:val="0"/>
      <w:marBottom w:val="0"/>
      <w:divBdr>
        <w:top w:val="none" w:sz="0" w:space="0" w:color="auto"/>
        <w:left w:val="none" w:sz="0" w:space="0" w:color="auto"/>
        <w:bottom w:val="none" w:sz="0" w:space="0" w:color="auto"/>
        <w:right w:val="none" w:sz="0" w:space="0" w:color="auto"/>
      </w:divBdr>
    </w:div>
    <w:div w:id="287971695">
      <w:bodyDiv w:val="1"/>
      <w:marLeft w:val="0"/>
      <w:marRight w:val="0"/>
      <w:marTop w:val="0"/>
      <w:marBottom w:val="0"/>
      <w:divBdr>
        <w:top w:val="none" w:sz="0" w:space="0" w:color="auto"/>
        <w:left w:val="none" w:sz="0" w:space="0" w:color="auto"/>
        <w:bottom w:val="none" w:sz="0" w:space="0" w:color="auto"/>
        <w:right w:val="none" w:sz="0" w:space="0" w:color="auto"/>
      </w:divBdr>
    </w:div>
    <w:div w:id="577403836">
      <w:bodyDiv w:val="1"/>
      <w:marLeft w:val="0"/>
      <w:marRight w:val="0"/>
      <w:marTop w:val="0"/>
      <w:marBottom w:val="0"/>
      <w:divBdr>
        <w:top w:val="none" w:sz="0" w:space="0" w:color="auto"/>
        <w:left w:val="none" w:sz="0" w:space="0" w:color="auto"/>
        <w:bottom w:val="none" w:sz="0" w:space="0" w:color="auto"/>
        <w:right w:val="none" w:sz="0" w:space="0" w:color="auto"/>
      </w:divBdr>
    </w:div>
    <w:div w:id="1277251090">
      <w:bodyDiv w:val="1"/>
      <w:marLeft w:val="0"/>
      <w:marRight w:val="0"/>
      <w:marTop w:val="0"/>
      <w:marBottom w:val="0"/>
      <w:divBdr>
        <w:top w:val="none" w:sz="0" w:space="0" w:color="auto"/>
        <w:left w:val="none" w:sz="0" w:space="0" w:color="auto"/>
        <w:bottom w:val="none" w:sz="0" w:space="0" w:color="auto"/>
        <w:right w:val="none" w:sz="0" w:space="0" w:color="auto"/>
      </w:divBdr>
    </w:div>
    <w:div w:id="1387533889">
      <w:bodyDiv w:val="1"/>
      <w:marLeft w:val="0"/>
      <w:marRight w:val="0"/>
      <w:marTop w:val="0"/>
      <w:marBottom w:val="0"/>
      <w:divBdr>
        <w:top w:val="none" w:sz="0" w:space="0" w:color="auto"/>
        <w:left w:val="none" w:sz="0" w:space="0" w:color="auto"/>
        <w:bottom w:val="none" w:sz="0" w:space="0" w:color="auto"/>
        <w:right w:val="none" w:sz="0" w:space="0" w:color="auto"/>
      </w:divBdr>
    </w:div>
    <w:div w:id="1580822607">
      <w:bodyDiv w:val="1"/>
      <w:marLeft w:val="0"/>
      <w:marRight w:val="0"/>
      <w:marTop w:val="0"/>
      <w:marBottom w:val="0"/>
      <w:divBdr>
        <w:top w:val="none" w:sz="0" w:space="0" w:color="auto"/>
        <w:left w:val="none" w:sz="0" w:space="0" w:color="auto"/>
        <w:bottom w:val="none" w:sz="0" w:space="0" w:color="auto"/>
        <w:right w:val="none" w:sz="0" w:space="0" w:color="auto"/>
      </w:divBdr>
    </w:div>
    <w:div w:id="209192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4F37-D77A-49BB-B2A3-D9063995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3152</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20134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Ambiente Consultoria</cp:lastModifiedBy>
  <cp:revision>52</cp:revision>
  <cp:lastPrinted>2015-06-04T18:07:00Z</cp:lastPrinted>
  <dcterms:created xsi:type="dcterms:W3CDTF">2018-10-28T19:38:00Z</dcterms:created>
  <dcterms:modified xsi:type="dcterms:W3CDTF">2018-11-04T01:33:00Z</dcterms:modified>
</cp:coreProperties>
</file>