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p>
    <w:p w:rsidR="00000000" w:rsidDel="00000000" w:rsidP="00000000" w:rsidRDefault="00000000" w:rsidRPr="00000000" w14:paraId="00000002">
      <w:pPr>
        <w:jc w:val="center"/>
        <w:rPr>
          <w:b w:val="1"/>
          <w:bCs w:val="1"/>
          <w:i w:val="1"/>
          <w:iCs w:val="1"/>
          <w:sz w:val="28"/>
          <w:szCs w:val="28"/>
        </w:rPr>
      </w:pPr>
      <w:r w:rsidDel="00000000" w:rsidR="00000000" w:rsidRPr="00000000">
        <w:rPr>
          <w:b w:val="1"/>
          <w:bCs w:val="1"/>
          <w:i w:val="1"/>
          <w:iCs w:val="1"/>
          <w:sz w:val="28"/>
          <w:szCs w:val="28"/>
          <w:rtl w:val="0"/>
        </w:rPr>
        <w:t xml:space="preserve">Characterization and evaluation of the biotechnological potential of free and immobilized xylanase produced by Trichoderma reesei</w:t>
      </w:r>
    </w:p>
    <w:p w:rsidR="00000000" w:rsidDel="00000000" w:rsidP="00000000" w:rsidRDefault="00000000" w:rsidRPr="00000000" w14:paraId="00000003">
      <w:pPr>
        <w:jc w:val="center"/>
        <w:rPr>
          <w:b w:val="1"/>
          <w:bCs w:val="1"/>
          <w:i w:val="1"/>
          <w:iCs w:val="1"/>
          <w:sz w:val="28"/>
          <w:szCs w:val="28"/>
        </w:rPr>
      </w:pPr>
      <w:r w:rsidDel="00000000" w:rsidR="00000000" w:rsidRPr="00000000">
        <w:rPr>
          <w:rtl w:val="0"/>
        </w:rPr>
      </w:r>
    </w:p>
    <w:p w:rsidR="00000000" w:rsidDel="00000000" w:rsidP="00000000" w:rsidRDefault="00000000" w:rsidRPr="00000000" w14:paraId="00000004">
      <w:pPr>
        <w:jc w:val="center"/>
        <w:rPr>
          <w:b w:val="1"/>
          <w:bCs w:val="1"/>
          <w:sz w:val="22"/>
          <w:szCs w:val="22"/>
          <w:vertAlign w:val="superscript"/>
        </w:rPr>
      </w:pPr>
      <w:r w:rsidDel="00000000" w:rsidR="00000000" w:rsidRPr="00000000">
        <w:rPr>
          <w:b w:val="1"/>
          <w:bCs w:val="1"/>
          <w:sz w:val="22"/>
          <w:szCs w:val="22"/>
          <w:u w:val="single"/>
          <w:rtl w:val="0"/>
        </w:rPr>
        <w:t xml:space="preserve">Marcos Costa Oliveira</w:t>
      </w:r>
      <w:r w:rsidDel="00000000" w:rsidR="00000000" w:rsidRPr="00000000">
        <w:rPr>
          <w:b w:val="1"/>
          <w:bCs w:val="1"/>
          <w:sz w:val="22"/>
          <w:szCs w:val="22"/>
          <w:vertAlign w:val="superscript"/>
          <w:rtl w:val="0"/>
        </w:rPr>
        <w:t xml:space="preserve">1*</w:t>
      </w:r>
      <w:r w:rsidDel="00000000" w:rsidR="00000000" w:rsidRPr="00000000">
        <w:rPr>
          <w:b w:val="1"/>
          <w:bCs w:val="1"/>
          <w:sz w:val="22"/>
          <w:szCs w:val="22"/>
          <w:rtl w:val="0"/>
        </w:rPr>
        <w:t xml:space="preserve">,</w:t>
      </w:r>
      <w:r w:rsidDel="00000000" w:rsidR="00000000" w:rsidRPr="00000000">
        <w:rPr>
          <w:b w:val="1"/>
          <w:bCs w:val="1"/>
          <w:sz w:val="22"/>
          <w:szCs w:val="22"/>
          <w:rtl w:val="0"/>
        </w:rPr>
        <w:t xml:space="preserve"> Sofia Fidler Fernandes</w:t>
      </w:r>
      <w:r w:rsidDel="00000000" w:rsidR="00000000" w:rsidRPr="00000000">
        <w:rPr>
          <w:b w:val="1"/>
          <w:bCs w:val="1"/>
          <w:sz w:val="22"/>
          <w:szCs w:val="22"/>
          <w:vertAlign w:val="superscript"/>
          <w:rtl w:val="0"/>
        </w:rPr>
        <w:t xml:space="preserve">2</w:t>
      </w:r>
      <w:r w:rsidDel="00000000" w:rsidR="00000000" w:rsidRPr="00000000">
        <w:rPr>
          <w:b w:val="1"/>
          <w:bCs w:val="1"/>
          <w:sz w:val="22"/>
          <w:szCs w:val="22"/>
          <w:rtl w:val="0"/>
        </w:rPr>
        <w:t xml:space="preserve">, Sabrina Gabardo</w:t>
      </w:r>
      <w:r w:rsidDel="00000000" w:rsidR="00000000" w:rsidRPr="00000000">
        <w:rPr>
          <w:b w:val="1"/>
          <w:bCs w:val="1"/>
          <w:sz w:val="22"/>
          <w:szCs w:val="22"/>
          <w:vertAlign w:val="superscript"/>
          <w:rtl w:val="0"/>
        </w:rPr>
        <w:t xml:space="preserve">2</w:t>
      </w:r>
    </w:p>
    <w:p w:rsidR="00000000" w:rsidDel="00000000" w:rsidP="00000000" w:rsidRDefault="00000000" w:rsidRPr="00000000" w14:paraId="00000005">
      <w:pPr>
        <w:jc w:val="center"/>
        <w:rPr>
          <w:b w:val="1"/>
          <w:bCs w:val="1"/>
          <w:sz w:val="22"/>
          <w:szCs w:val="22"/>
        </w:rPr>
      </w:pPr>
      <w:r w:rsidDel="00000000" w:rsidR="00000000" w:rsidRPr="00000000">
        <w:rPr>
          <w:rtl w:val="0"/>
        </w:rPr>
      </w:r>
    </w:p>
    <w:p w:rsidR="00000000" w:rsidDel="00000000" w:rsidP="00000000" w:rsidRDefault="00000000" w:rsidRPr="00000000" w14:paraId="00000006">
      <w:pPr>
        <w:jc w:val="center"/>
        <w:rPr>
          <w:i w:val="1"/>
          <w:iCs w:val="1"/>
          <w:sz w:val="18"/>
          <w:szCs w:val="18"/>
        </w:rPr>
      </w:pPr>
      <w:r w:rsidDel="00000000" w:rsidR="00000000" w:rsidRPr="00000000">
        <w:rPr>
          <w:i w:val="1"/>
          <w:iCs w:val="1"/>
          <w:sz w:val="18"/>
          <w:szCs w:val="18"/>
          <w:rtl w:val="0"/>
        </w:rPr>
        <w:t xml:space="preserve">1 Federal University of São Carlos (UFSCar), Center for Sciences and Technology for Sustainability, Sorocaba-SP, Brazil. </w:t>
      </w:r>
    </w:p>
    <w:p w:rsidR="00000000" w:rsidDel="00000000" w:rsidP="00000000" w:rsidRDefault="00000000" w:rsidRPr="00000000" w14:paraId="00000007">
      <w:pPr>
        <w:widowControl w:val="0"/>
        <w:spacing w:line="288" w:lineRule="auto"/>
        <w:jc w:val="center"/>
        <w:rPr>
          <w:i w:val="1"/>
          <w:iCs w:val="1"/>
          <w:sz w:val="18"/>
          <w:szCs w:val="18"/>
        </w:rPr>
      </w:pPr>
      <w:r w:rsidDel="00000000" w:rsidR="00000000" w:rsidRPr="00000000">
        <w:rPr>
          <w:i w:val="1"/>
          <w:iCs w:val="1"/>
          <w:sz w:val="18"/>
          <w:szCs w:val="18"/>
          <w:rtl w:val="0"/>
        </w:rPr>
        <w:t xml:space="preserve">2 Federal University of São Carlos (UFSCar), Center for Agricultural Sciences, Araras-SP, Brazil.</w:t>
      </w:r>
    </w:p>
    <w:p w:rsidR="00000000" w:rsidDel="00000000" w:rsidP="00000000" w:rsidRDefault="00000000" w:rsidRPr="00000000" w14:paraId="00000008">
      <w:pPr>
        <w:widowControl w:val="0"/>
        <w:spacing w:line="288" w:lineRule="auto"/>
        <w:jc w:val="center"/>
        <w:rPr>
          <w:color w:val="4a4a4a"/>
          <w:sz w:val="28"/>
          <w:szCs w:val="28"/>
          <w:highlight w:val="white"/>
        </w:rPr>
      </w:pPr>
      <w:r w:rsidDel="00000000" w:rsidR="00000000" w:rsidRPr="00000000">
        <w:rPr>
          <w:i w:val="1"/>
          <w:iCs w:val="1"/>
          <w:sz w:val="18"/>
          <w:szCs w:val="18"/>
          <w:rtl w:val="0"/>
        </w:rPr>
        <w:t xml:space="preserve">*marcoscosta@estudante.ufscar.br</w:t>
      </w:r>
      <w:r w:rsidDel="00000000" w:rsidR="00000000" w:rsidRPr="00000000">
        <w:rPr>
          <w:rtl w:val="0"/>
        </w:rPr>
      </w:r>
    </w:p>
    <w:p w:rsidR="00000000" w:rsidDel="00000000" w:rsidP="00000000" w:rsidRDefault="00000000" w:rsidRPr="00000000" w14:paraId="00000009">
      <w:pPr>
        <w:rPr>
          <w:color w:val="4a4a4a"/>
          <w:sz w:val="28"/>
          <w:szCs w:val="28"/>
          <w:highlight w:val="white"/>
        </w:rPr>
      </w:pPr>
      <w:r w:rsidDel="00000000" w:rsidR="00000000" w:rsidRPr="00000000">
        <w:rPr>
          <w:rtl w:val="0"/>
        </w:rPr>
      </w:r>
    </w:p>
    <w:p w:rsidR="00000000" w:rsidDel="00000000" w:rsidP="00000000" w:rsidRDefault="00000000" w:rsidRPr="00000000" w14:paraId="0000000A">
      <w:pPr>
        <w:spacing w:after="240" w:before="240" w:lineRule="auto"/>
        <w:ind w:firstLine="720"/>
        <w:rPr>
          <w:color w:val="4a4a4a"/>
          <w:highlight w:val="white"/>
        </w:rPr>
      </w:pPr>
      <w:r w:rsidDel="00000000" w:rsidR="00000000" w:rsidRPr="00000000">
        <w:rPr>
          <w:color w:val="4a4a4a"/>
          <w:highlight w:val="white"/>
          <w:rtl w:val="0"/>
        </w:rPr>
        <w:t xml:space="preserve">The use of agro-industrial residues as substrates for enzyme production has emerged as a sustainable alternative, contributing to waste valorization and the reduction of environmental impacts. In this context, fungi are widely employed due to their high enzymatic secretion capacity and adaptability to lignocellulosic substrates. Additionally, enzyme immobilization techniques have been applied to enhance the stability, reusability, and efficiency of biocatalysts, thereby expanding their potential in industrial applications. This study evaluated the enzymatic activity of xylanase produced by the fungus </w:t>
      </w:r>
      <w:r w:rsidDel="00000000" w:rsidR="00000000" w:rsidRPr="00000000">
        <w:rPr>
          <w:i w:val="1"/>
          <w:iCs w:val="1"/>
          <w:color w:val="4a4a4a"/>
          <w:highlight w:val="white"/>
          <w:rtl w:val="0"/>
        </w:rPr>
        <w:t xml:space="preserve">Trichoderma ressei</w:t>
      </w:r>
      <w:r w:rsidDel="00000000" w:rsidR="00000000" w:rsidRPr="00000000">
        <w:rPr>
          <w:color w:val="4a4a4a"/>
          <w:highlight w:val="white"/>
          <w:rtl w:val="0"/>
        </w:rPr>
        <w:t xml:space="preserve"> CFF 175 using sugarcane bagasse as substrate, comparing the enzyme in its free form and immobilized in calcium alginate beads. For the free enzyme, the optimal pH was observed at approximately 5.5 (30 U/mL), whereas extreme pH values (3.0 and 9.5) resulted in a reduction of approximately 50% in activity (16 U/mL and 15 U/mL, respectively). For the immobilized enzyme, a shift in the optimal pH toward more alkaline values was observed, with higher activity at pH 7.5 (34 U/mL), indicating changes in the catalytic microenvironment. Regarding temperature, both free and immobilized enzymes exhibited maximum activity at 55 ºC, with values of 32 U/mL and 36 U/mL, respectively. A drastic reduction in activity for the free enzyme was observed at 70 ºC (9 U/mL), corresponding to a 72% loss of catalytic activity. For the immobilized enzyme, this reduction occurred at 80 ºC (8 U/mL), with a 78% loss of activity. Immobilization altered the catalytic profile of the enzyme, resulting in greater tolerance to pH variations and improved thermal stability. These findings demonstrate that calcium alginate immobilization is an effective strategy to enhance the operational performance of enzymes derived from agro-industrial residues, reinforcing their potential for sustainable biotechnological applications.</w:t>
      </w:r>
    </w:p>
    <w:p w:rsidR="00000000" w:rsidDel="00000000" w:rsidP="00000000" w:rsidRDefault="00000000" w:rsidRPr="00000000" w14:paraId="0000000B">
      <w:pPr>
        <w:spacing w:after="240" w:before="240" w:lineRule="auto"/>
        <w:rPr>
          <w:color w:val="4a4a4a"/>
          <w:sz w:val="22"/>
          <w:szCs w:val="22"/>
          <w:highlight w:val="white"/>
        </w:rPr>
      </w:pPr>
      <w:r w:rsidDel="00000000" w:rsidR="00000000" w:rsidRPr="00000000">
        <w:rPr>
          <w:color w:val="4a4a4a"/>
          <w:sz w:val="22"/>
          <w:szCs w:val="22"/>
          <w:highlight w:val="white"/>
          <w:rtl w:val="0"/>
        </w:rPr>
        <w:t xml:space="preserve">KEYWORDS: Agro-industrial residues, Enzyme immobilization, </w:t>
      </w:r>
      <w:r w:rsidDel="00000000" w:rsidR="00000000" w:rsidRPr="00000000">
        <w:rPr>
          <w:i w:val="1"/>
          <w:iCs w:val="1"/>
          <w:color w:val="4a4a4a"/>
          <w:sz w:val="22"/>
          <w:szCs w:val="22"/>
          <w:highlight w:val="white"/>
          <w:rtl w:val="0"/>
        </w:rPr>
        <w:t xml:space="preserve">Trichoderma reesei, </w:t>
      </w:r>
      <w:r w:rsidDel="00000000" w:rsidR="00000000" w:rsidRPr="00000000">
        <w:rPr>
          <w:color w:val="4a4a4a"/>
          <w:sz w:val="22"/>
          <w:szCs w:val="22"/>
          <w:highlight w:val="white"/>
          <w:rtl w:val="0"/>
        </w:rPr>
        <w:t xml:space="preserve">Calcium alginate</w:t>
      </w:r>
    </w:p>
    <w:p w:rsidR="00000000" w:rsidDel="00000000" w:rsidP="00000000" w:rsidRDefault="00000000" w:rsidRPr="00000000" w14:paraId="0000000C">
      <w:pPr>
        <w:spacing w:after="240" w:before="240" w:lineRule="auto"/>
        <w:rPr>
          <w:color w:val="4a4a4a"/>
          <w:sz w:val="22"/>
          <w:szCs w:val="22"/>
          <w:highlight w:val="white"/>
        </w:rPr>
      </w:pPr>
      <w:r w:rsidDel="00000000" w:rsidR="00000000" w:rsidRPr="00000000">
        <w:rPr>
          <w:color w:val="4a4a4a"/>
          <w:sz w:val="22"/>
          <w:szCs w:val="22"/>
          <w:highlight w:val="white"/>
          <w:rtl w:val="0"/>
        </w:rPr>
        <w:t xml:space="preserve">FUNDING: Coordination for the Improvement of higher Education Personnel (CAPES)</w:t>
      </w:r>
    </w:p>
    <w:sectPr>
      <w:headerReference r:id="rId7" w:type="first"/>
      <w:headerReference r:id="rId8" w:type="even"/>
      <w:footerReference r:id="rId9" w:type="default"/>
      <w:pgSz w:h="16838" w:w="11906" w:orient="portrait"/>
      <w:pgMar w:bottom="1418" w:top="1418" w:left="1701" w:right="1701" w:header="0"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-1242056</wp:posOffset>
          </wp:positionH>
          <wp:positionV relativeFrom="paragraph">
            <wp:posOffset>9525</wp:posOffset>
          </wp:positionV>
          <wp:extent cx="7737575" cy="1745963"/>
          <wp:effectExtent b="0" l="0" r="0" t="0"/>
          <wp:wrapNone/>
          <wp:docPr id="1" name="image1.png"/>
          <a:graphic>
            <a:graphicData uri="http://schemas.openxmlformats.org/drawingml/2006/picture">
              <pic:pic>
                <pic:nvPicPr>
                  <pic:cNvPr id="0" name="image1.png"/>
                  <pic:cNvPicPr preferRelativeResize="0"/>
                </pic:nvPicPr>
                <pic:blipFill>
                  <a:blip r:embed="rId1"/>
                  <a:srcRect b="-5847" l="-1965" r="1965" t="5847"/>
                  <a:stretch>
                    <a:fillRect/>
                  </a:stretch>
                </pic:blipFill>
                <pic:spPr>
                  <a:xfrm>
                    <a:off x="0" y="0"/>
                    <a:ext cx="7737575" cy="1745963"/>
                  </a:xfrm>
                  <a:prstGeom prst="rect"/>
                  <a:ln/>
                </pic:spPr>
              </pic:pic>
            </a:graphicData>
          </a:graphic>
        </wp:anchor>
      </w:drawing>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2" style="position:absolute;width:424.7pt;height:424.7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color w:val="000000"/>
      </w:rPr>
      <w:pict>
        <v:shape id="WordPictureWatermark1" style="position:absolute;width:481.75pt;height:503.6pt;rotation:0;z-index:-503316481;mso-position-horizontal-relative:margin;mso-position-horizontal:center;mso-position-vertical-relative:margin;mso-position-vertical:center;"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120" w:before="120" w:lineRule="auto"/>
      <w:jc w:val="center"/>
    </w:pPr>
    <w:rPr>
      <w:b w:val="1"/>
      <w:bCs w:val="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UcuCNq74d4g9hSZZIYHRPNB5Q==">CgMxLjA4AHIhMTV0dmNKc0I3emsxb2RwVTdvN2loRE1ZVzg1VXh0Q2g5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