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585FABFC" w:rsidR="00516DC8" w:rsidRPr="007A5D25" w:rsidRDefault="00360690" w:rsidP="00702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Mostra Científica de Pesquisa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C057FE" w14:textId="77777777" w:rsidR="00B27754" w:rsidRDefault="00B27754" w:rsidP="00B277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EXPLORANDO OS FATORES DE RISCO E ESTRATÉGIAS DE DIAGNÓSTICO PARA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34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ONDROMALÁCIA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344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ATELAR.</w:t>
      </w:r>
    </w:p>
    <w:p w14:paraId="11FCADF4" w14:textId="77777777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Gabriel Barbosa Carneiro</w:t>
      </w:r>
    </w:p>
    <w:p w14:paraId="25AA14BA" w14:textId="77777777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 </w:t>
      </w:r>
    </w:p>
    <w:p w14:paraId="08E9E80F" w14:textId="77777777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Itapipoca - Ceará. biel36209@gmail.com</w:t>
      </w:r>
    </w:p>
    <w:p w14:paraId="28D46E0C" w14:textId="77777777" w:rsidR="00065272" w:rsidRDefault="00065272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783BAD" w14:textId="46EDB8B9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Rafaela Teixeira Bayer Pires</w:t>
      </w:r>
    </w:p>
    <w:p w14:paraId="6F962679" w14:textId="77777777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</w:t>
      </w:r>
    </w:p>
    <w:p w14:paraId="0C9900ED" w14:textId="77777777" w:rsidR="00065272" w:rsidRDefault="00065272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4EECDC" w14:textId="788E77DB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Ana </w:t>
      </w:r>
      <w:proofErr w:type="spellStart"/>
      <w:r w:rsidRPr="004D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Karolinny</w:t>
      </w:r>
      <w:proofErr w:type="spellEnd"/>
      <w:r w:rsidRPr="004D7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Araújo Teixeira</w:t>
      </w:r>
    </w:p>
    <w:p w14:paraId="64E1AC54" w14:textId="77777777" w:rsidR="00B27754" w:rsidRDefault="00B27754" w:rsidP="000652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 </w:t>
      </w:r>
    </w:p>
    <w:p w14:paraId="4D942F90" w14:textId="77777777" w:rsidR="0062317C" w:rsidRDefault="0062317C" w:rsidP="00623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4BF1AB" w14:textId="0A2D9BB6" w:rsidR="0062317C" w:rsidRDefault="0062317C" w:rsidP="006231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Lara Lis Leite Santos</w:t>
      </w:r>
    </w:p>
    <w:p w14:paraId="3D830920" w14:textId="77777777" w:rsidR="0062317C" w:rsidRDefault="0062317C" w:rsidP="006231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Discente do curso de medicina. Centro Universitário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UNINTA campus Itapipoca. </w:t>
      </w:r>
    </w:p>
    <w:p w14:paraId="4A501B9F" w14:textId="77777777" w:rsidR="006D2309" w:rsidRDefault="006D2309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B66952" w14:textId="20ADE5A8" w:rsidR="006D2309" w:rsidRPr="00D929C9" w:rsidRDefault="006D2309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 Auxiliadora Ferreira Araujo</w:t>
      </w:r>
    </w:p>
    <w:p w14:paraId="13F367F3" w14:textId="77777777" w:rsidR="006D2309" w:rsidRPr="006F6582" w:rsidRDefault="006D2309" w:rsidP="006D2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Docente do curso de Medicina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Centro Universitário INTA –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Pr="00D929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ampus Itapipoca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Ce. sulypsico@gmail.com</w:t>
      </w:r>
    </w:p>
    <w:p w14:paraId="11EFA0F2" w14:textId="77777777" w:rsidR="007E5303" w:rsidRDefault="007E5303" w:rsidP="007E53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664959" w14:textId="49EFDC9F" w:rsidR="007E5303" w:rsidRPr="007E5303" w:rsidRDefault="007E5303" w:rsidP="007E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Francisco </w:t>
      </w:r>
      <w:proofErr w:type="spellStart"/>
      <w:r w:rsidRPr="007E5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Vassiliepe</w:t>
      </w:r>
      <w:proofErr w:type="spellEnd"/>
      <w:r w:rsidRPr="007E5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Sousa Arruda</w:t>
      </w:r>
    </w:p>
    <w:p w14:paraId="17A684C8" w14:textId="42BA96AA" w:rsidR="007E5303" w:rsidRPr="007E5303" w:rsidRDefault="007E5303" w:rsidP="007E5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Docente do Curso de Medicina do Centro Universitário INTA - </w:t>
      </w:r>
      <w:proofErr w:type="spellStart"/>
      <w:r w:rsidRPr="007E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Uninta</w:t>
      </w:r>
      <w:proofErr w:type="spellEnd"/>
      <w:r w:rsidRPr="007E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Campus Itapipoca – Ce.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vassiliepe@gmail.com</w:t>
      </w:r>
    </w:p>
    <w:p w14:paraId="409D0ED2" w14:textId="77777777" w:rsidR="00B27754" w:rsidRPr="004D72E2" w:rsidRDefault="00B27754" w:rsidP="007E5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10E6E3" w14:textId="77777777" w:rsidR="009E6507" w:rsidRDefault="009E6507" w:rsidP="00B2775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4E753D" w14:textId="1A2F7AF6" w:rsidR="00B27754" w:rsidRPr="00471517" w:rsidRDefault="00B27754" w:rsidP="00B277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condromalácia patelar é uma patologia de origem mecânica, causando erosão, fragmentação ou amolecimento da cartilagem da patela. Devido a lesão, ela gera a dor anterior de joelho (AKP), que acomete tanto a população geral como atletas de alto nível, sendo uma queixa relativamente frequente nas consultas por sintomas no joelho, em cerca de 11 a 17%.  Esses pacientes costumam apresentar desconforto e dor crônica frequente, limitando-os em atividades do cotidiano.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="007F61F7" w:rsidRPr="006E4A3F">
        <w:rPr>
          <w:rFonts w:ascii="Times New Roman" w:hAnsi="Times New Roman" w:cs="Times New Roman"/>
          <w:sz w:val="24"/>
          <w:szCs w:val="24"/>
        </w:rPr>
        <w:t xml:space="preserve">Analisar na literatura a </w:t>
      </w:r>
      <w:r w:rsidRPr="006E4A3F">
        <w:rPr>
          <w:rFonts w:ascii="Times New Roman" w:hAnsi="Times New Roman" w:cs="Times New Roman"/>
          <w:sz w:val="24"/>
          <w:szCs w:val="24"/>
        </w:rPr>
        <w:t>identifica</w:t>
      </w:r>
      <w:r w:rsidR="007F61F7" w:rsidRPr="006E4A3F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F7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 fatores de risco e os principais métodos para o diagnóstico da condromalácia patelar.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Método: </w:t>
      </w:r>
      <w:r>
        <w:rPr>
          <w:rFonts w:ascii="Times New Roman" w:hAnsi="Times New Roman" w:cs="Times New Roman"/>
          <w:color w:val="000000"/>
          <w:sz w:val="24"/>
          <w:szCs w:val="24"/>
        </w:rPr>
        <w:t>Trata-se de uma revisão de literatura, com a utilização dos seguintes descritores</w:t>
      </w:r>
      <w:r w:rsidR="007C445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Condromalácia patelar, </w:t>
      </w:r>
      <w:r w:rsidR="00922F29">
        <w:rPr>
          <w:rFonts w:ascii="Times New Roman" w:hAnsi="Times New Roman" w:cs="Times New Roman"/>
          <w:color w:val="000000"/>
          <w:sz w:val="24"/>
          <w:szCs w:val="24"/>
        </w:rPr>
        <w:t>fatores de risco e diagnóstico</w:t>
      </w:r>
      <w:r w:rsidR="007C445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com 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uso dos operadores booleanos </w:t>
      </w:r>
      <w:r w:rsidR="00CC0878"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CC0878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As plataformas acessadas foram a Biblioteca Virtual em Saúde (BVS) e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UpToDate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Os critérios de inclusão foram artigos que se </w:t>
      </w:r>
      <w:r w:rsidRPr="006E4A3F">
        <w:rPr>
          <w:rFonts w:ascii="Times New Roman" w:hAnsi="Times New Roman" w:cs="Times New Roman"/>
          <w:sz w:val="24"/>
          <w:szCs w:val="24"/>
        </w:rPr>
        <w:t>relacion</w:t>
      </w:r>
      <w:r w:rsidR="00CC0878" w:rsidRPr="006E4A3F">
        <w:rPr>
          <w:rFonts w:ascii="Times New Roman" w:hAnsi="Times New Roman" w:cs="Times New Roman"/>
          <w:sz w:val="24"/>
          <w:szCs w:val="24"/>
        </w:rPr>
        <w:t>assem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o tema do trabalho, texto completo e que tivessem acesso de forma gratuita. Os critérios de exclusão foram publicações de revistas que não tinham acesso gratuito ou que não se relacionavam com o tema.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Resultados: </w:t>
      </w:r>
      <w:r w:rsidRPr="006E4A3F">
        <w:rPr>
          <w:rFonts w:ascii="Times New Roman" w:hAnsi="Times New Roman" w:cs="Times New Roman"/>
          <w:sz w:val="24"/>
          <w:szCs w:val="24"/>
        </w:rPr>
        <w:t xml:space="preserve">A </w:t>
      </w:r>
      <w:r w:rsidR="00672C58" w:rsidRPr="006E4A3F">
        <w:rPr>
          <w:rFonts w:ascii="Times New Roman" w:hAnsi="Times New Roman" w:cs="Times New Roman"/>
          <w:sz w:val="24"/>
          <w:szCs w:val="24"/>
        </w:rPr>
        <w:t xml:space="preserve">literatura </w:t>
      </w:r>
      <w:proofErr w:type="spellStart"/>
      <w:r w:rsidR="00672C58" w:rsidRPr="006E4A3F">
        <w:rPr>
          <w:rFonts w:ascii="Times New Roman" w:hAnsi="Times New Roman" w:cs="Times New Roman"/>
          <w:sz w:val="24"/>
          <w:szCs w:val="24"/>
        </w:rPr>
        <w:t>pesquisada</w:t>
      </w:r>
      <w:proofErr w:type="spellEnd"/>
      <w:r w:rsidR="00672C58" w:rsidRPr="006E4A3F">
        <w:rPr>
          <w:rFonts w:ascii="Times New Roman" w:hAnsi="Times New Roman" w:cs="Times New Roman"/>
          <w:sz w:val="24"/>
          <w:szCs w:val="24"/>
        </w:rPr>
        <w:t xml:space="preserve"> aponta que a </w:t>
      </w:r>
      <w:r w:rsidRPr="006E4A3F">
        <w:rPr>
          <w:rFonts w:ascii="Times New Roman" w:hAnsi="Times New Roman" w:cs="Times New Roman"/>
          <w:sz w:val="24"/>
          <w:szCs w:val="24"/>
        </w:rPr>
        <w:t xml:space="preserve">condromalácia é </w:t>
      </w:r>
      <w:r w:rsidR="00CC0878" w:rsidRPr="006E4A3F">
        <w:rPr>
          <w:rFonts w:ascii="Times New Roman" w:hAnsi="Times New Roman" w:cs="Times New Roman"/>
          <w:sz w:val="24"/>
          <w:szCs w:val="24"/>
        </w:rPr>
        <w:t>constituída</w:t>
      </w:r>
      <w:r w:rsidRPr="006E4A3F">
        <w:rPr>
          <w:rFonts w:ascii="Times New Roman" w:hAnsi="Times New Roman" w:cs="Times New Roman"/>
          <w:sz w:val="24"/>
          <w:szCs w:val="24"/>
        </w:rPr>
        <w:t xml:space="preserve"> por alterações </w:t>
      </w:r>
      <w:r>
        <w:rPr>
          <w:rFonts w:ascii="Times New Roman" w:hAnsi="Times New Roman" w:cs="Times New Roman"/>
          <w:color w:val="000000"/>
          <w:sz w:val="24"/>
          <w:szCs w:val="24"/>
        </w:rPr>
        <w:t>anatômicas, pois um aumento da inclinação troclear lateral ou do ângulo lateral da patela são fatores que aumentam a possibilidade de desenvolver a doença, contudo, um aumento da inclinação tibial medial ou na profundidade troclear diminuem a chance de desenvolver a condromalácia. Além disso, também foi verificado que uma maior altura patelar tem relação com quadros de lesão com graus mais altos.</w:t>
      </w:r>
      <w:r w:rsidRPr="004B0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B06FB">
        <w:rPr>
          <w:rFonts w:ascii="Times New Roman" w:hAnsi="Times New Roman" w:cs="Times New Roman"/>
          <w:color w:val="000000"/>
          <w:sz w:val="24"/>
          <w:szCs w:val="24"/>
        </w:rPr>
        <w:t xml:space="preserve"> sobrecarga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um fator de risco para</w:t>
      </w:r>
      <w:r w:rsidRPr="004B0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atleta</w:t>
      </w:r>
      <w:r w:rsidRPr="004B06FB">
        <w:rPr>
          <w:rFonts w:ascii="Times New Roman" w:hAnsi="Times New Roman" w:cs="Times New Roman"/>
          <w:color w:val="000000"/>
          <w:sz w:val="24"/>
          <w:szCs w:val="24"/>
        </w:rPr>
        <w:t>s que praticam esportes de alto nível, que necessitam muito dos membros inferiores.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 traumas ocorrem ao redor da articulação, causam dor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patelofemoral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seja diretamente por esportes de contato, acidentes de trânsito e quedas, ou indiretamente </w:t>
      </w:r>
      <w:r w:rsidRPr="004B06FB">
        <w:rPr>
          <w:rFonts w:ascii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luxações ou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subluxações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patelares, estiramentos dos tendões ou danos a cartilagem. Outros fatores como a idade avançada e um Índice de Massa Corporal (IMC) elevado podem propiciar a ocorrência de condromalácia patelar. O diagnóstico geralmente é clínico, tratando-se de uma dor mecânica, que piora ao realizar agachamento, corridas ou subir escadas, apresentando uma dor ao redor da patela, além disso deve haver a realização de exames físicos, como palpação do tendão patelar, sensibilidade da faceta da patela, deslizamento patelar, o teste de apreensão e ângulo poplíteo. Nos exames de imagem, pode ser solicitado Raios-X AP, perfil com carga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 Axial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PA alternativo para descartar outras patologias. Ressonância magnética pode detectar fissuras, irregulares e afinamento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condral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dando oportunidade para um diagnóstico precoce.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Conclusão: </w:t>
      </w:r>
      <w:r w:rsidRPr="00471517">
        <w:rPr>
          <w:rFonts w:ascii="Times New Roman" w:hAnsi="Times New Roman" w:cs="Times New Roman"/>
          <w:color w:val="000000"/>
          <w:sz w:val="24"/>
          <w:szCs w:val="24"/>
        </w:rPr>
        <w:t>Diante das observações, podemos concluir que os fatores de risco para condromalácia patelar são alterações anatômicas, idade, traumas e</w:t>
      </w:r>
      <w:r w:rsidRPr="006E4A3F">
        <w:rPr>
          <w:rFonts w:ascii="Times New Roman" w:hAnsi="Times New Roman" w:cs="Times New Roman"/>
          <w:sz w:val="24"/>
          <w:szCs w:val="24"/>
        </w:rPr>
        <w:t xml:space="preserve"> </w:t>
      </w:r>
      <w:r w:rsidR="00672C58" w:rsidRPr="006E4A3F">
        <w:rPr>
          <w:rFonts w:ascii="Times New Roman" w:hAnsi="Times New Roman" w:cs="Times New Roman"/>
          <w:sz w:val="24"/>
          <w:szCs w:val="24"/>
        </w:rPr>
        <w:t xml:space="preserve">elevado </w:t>
      </w:r>
      <w:r>
        <w:rPr>
          <w:rFonts w:ascii="Times New Roman" w:hAnsi="Times New Roman" w:cs="Times New Roman"/>
          <w:color w:val="000000"/>
          <w:sz w:val="24"/>
          <w:szCs w:val="24"/>
        </w:rPr>
        <w:t>IMC. Em relação ao diagnóstico, ele é em sua maioria clínico, pela anamnese e exames físicos, mas podem ser solicitados exames de imagem, como o Raio-X, para descartar outras doenças ou a Ressonância Magnética para oportunizar um diagnóstico precoce.</w:t>
      </w:r>
    </w:p>
    <w:p w14:paraId="30F49508" w14:textId="77777777" w:rsidR="00B27754" w:rsidRPr="00060E20" w:rsidRDefault="00B27754" w:rsidP="00B277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Descritores: </w:t>
      </w:r>
      <w:r>
        <w:rPr>
          <w:rFonts w:ascii="Times New Roman" w:hAnsi="Times New Roman" w:cs="Times New Roman"/>
          <w:color w:val="000000"/>
          <w:sz w:val="24"/>
          <w:szCs w:val="24"/>
        </w:rPr>
        <w:t>Condromalácia patelar; Fatores de risco; Diagnóstico.</w:t>
      </w:r>
    </w:p>
    <w:p w14:paraId="32060EA7" w14:textId="77777777" w:rsidR="00B27754" w:rsidRDefault="00B27754" w:rsidP="00B2775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Referências:</w:t>
      </w:r>
    </w:p>
    <w:p w14:paraId="01E13971" w14:textId="2082E2C0" w:rsidR="006E4A3F" w:rsidRPr="006E4A3F" w:rsidRDefault="006E4A3F" w:rsidP="006E4A3F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DOBERSTEIN, Scott T.; ROMEYN, Richard L.; REINEKE, David M. </w:t>
      </w:r>
      <w:r w:rsidRPr="00DB139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The diagnostic value of the Clarke sign in assessing chondromalacia patella.</w:t>
      </w:r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Athl</w:t>
      </w:r>
      <w:proofErr w:type="spellEnd"/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Train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Estados Unidos,</w:t>
      </w:r>
      <w:r w:rsidRPr="00A2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43(2):190-196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2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2008.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Disponível em: </w:t>
      </w:r>
      <w:hyperlink r:id="rId7" w:history="1">
        <w:r w:rsidRPr="00382B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https://dx.doi.org/10.4085/1062-6050-43.2.190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27251">
        <w:rPr>
          <w:rFonts w:ascii="Times New Roman" w:hAnsi="Times New Roman" w:cs="Times New Roman"/>
          <w:sz w:val="24"/>
          <w:szCs w:val="24"/>
        </w:rPr>
        <w:t>Acesso em: 26 abr. 2024</w:t>
      </w:r>
    </w:p>
    <w:p w14:paraId="2D6CDFBB" w14:textId="77777777" w:rsidR="00B27754" w:rsidRDefault="00B27754" w:rsidP="00B277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251">
        <w:rPr>
          <w:rFonts w:ascii="Times New Roman" w:hAnsi="Times New Roman" w:cs="Times New Roman"/>
          <w:color w:val="000000"/>
          <w:sz w:val="24"/>
          <w:szCs w:val="24"/>
        </w:rPr>
        <w:t xml:space="preserve">HEBERT, </w:t>
      </w:r>
      <w:proofErr w:type="spellStart"/>
      <w:r w:rsidRPr="00A27251">
        <w:rPr>
          <w:rFonts w:ascii="Times New Roman" w:hAnsi="Times New Roman" w:cs="Times New Roman"/>
          <w:color w:val="000000"/>
          <w:sz w:val="24"/>
          <w:szCs w:val="24"/>
        </w:rPr>
        <w:t>Sizínio</w:t>
      </w:r>
      <w:proofErr w:type="spellEnd"/>
      <w:r w:rsidRPr="00A27251">
        <w:rPr>
          <w:rFonts w:ascii="Times New Roman" w:hAnsi="Times New Roman" w:cs="Times New Roman"/>
          <w:color w:val="000000"/>
          <w:sz w:val="24"/>
          <w:szCs w:val="24"/>
        </w:rPr>
        <w:t xml:space="preserve">; FILHO, Tarcísio E. P B.; XAVIER, Renato; et al. </w:t>
      </w:r>
      <w:r w:rsidRPr="00A272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Ortopedia e Traumatologia.</w:t>
      </w:r>
      <w:r w:rsidRPr="00A27251">
        <w:rPr>
          <w:rFonts w:ascii="Times New Roman" w:hAnsi="Times New Roman" w:cs="Times New Roman"/>
          <w:color w:val="000000"/>
          <w:sz w:val="24"/>
          <w:szCs w:val="24"/>
        </w:rPr>
        <w:t xml:space="preserve"> [Digite o Local da Editora]: Grupo A, 2017. E-book. ISBN 9788582713778. Disponível em: </w:t>
      </w:r>
      <w:hyperlink r:id="rId8" w:anchor="/books/9788582713778/" w:history="1">
        <w:r w:rsidRPr="00382BB0">
          <w:rPr>
            <w:rStyle w:val="Hyperlink"/>
            <w:rFonts w:ascii="Times New Roman" w:hAnsi="Times New Roman" w:cs="Times New Roman"/>
            <w:sz w:val="24"/>
            <w:szCs w:val="24"/>
          </w:rPr>
          <w:t>https://integrada.minhabiblioteca.com.br/#/books/9788582713778/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251">
        <w:rPr>
          <w:rFonts w:ascii="Times New Roman" w:hAnsi="Times New Roman" w:cs="Times New Roman"/>
          <w:color w:val="000000"/>
          <w:sz w:val="24"/>
          <w:szCs w:val="24"/>
        </w:rPr>
        <w:t>. Acesso em: 26 abr. 2024.</w:t>
      </w:r>
    </w:p>
    <w:p w14:paraId="22C93D3A" w14:textId="08EAAA6F" w:rsidR="006E4A3F" w:rsidRPr="006E4A3F" w:rsidRDefault="006E4A3F" w:rsidP="006E4A3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KIM, </w:t>
      </w:r>
      <w:proofErr w:type="spellStart"/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Taeho</w:t>
      </w:r>
      <w:proofErr w:type="spellEnd"/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; KIM Jin K.; LEE, Hong S.; KIM, Dong K. </w:t>
      </w:r>
      <w:r w:rsidRPr="00DB139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 xml:space="preserve">Patella-patellar tendon angle in relation to the medial patellar plica syndrome, chondromalacia patella, and </w:t>
      </w:r>
      <w:r w:rsidRPr="00DB1398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lastRenderedPageBreak/>
        <w:t>infrapatellar fat pad syndrome.</w:t>
      </w:r>
      <w:r w:rsidRPr="00DB13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PLoS </w:t>
      </w:r>
      <w:proofErr w:type="spellStart"/>
      <w:r w:rsidRPr="00481D4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São Francisco, Estados Unidos, </w:t>
      </w:r>
      <w:r w:rsidRPr="00A2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17(3):e0265331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A2725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2022.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Disponível em: </w:t>
      </w:r>
      <w:hyperlink r:id="rId9" w:history="1">
        <w:r w:rsidRPr="00382B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https://dx.doi.org/10.1371/journal.pone.0265331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DB1398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DB1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39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B1398">
        <w:rPr>
          <w:rFonts w:ascii="Times New Roman" w:hAnsi="Times New Roman" w:cs="Times New Roman"/>
          <w:sz w:val="24"/>
          <w:szCs w:val="24"/>
          <w:lang w:val="en-US"/>
        </w:rPr>
        <w:t>: 26 abr. 2024</w:t>
      </w:r>
    </w:p>
    <w:p w14:paraId="44CFD237" w14:textId="77777777" w:rsidR="00B27754" w:rsidRPr="00DB1398" w:rsidRDefault="00B27754" w:rsidP="00B277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B139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US"/>
        </w:rPr>
        <w:t xml:space="preserve">O'CONNOR, Francis </w:t>
      </w:r>
      <w:proofErr w:type="gramStart"/>
      <w:r w:rsidRPr="00DB139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US"/>
        </w:rPr>
        <w:t>G. ;</w:t>
      </w:r>
      <w:proofErr w:type="gramEnd"/>
      <w:r w:rsidRPr="00DB139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US"/>
        </w:rPr>
        <w:t xml:space="preserve"> MULVANEY</w:t>
      </w:r>
      <w:r w:rsidRPr="00DB13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B139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  <w:lang w:val="en-US"/>
        </w:rPr>
        <w:t xml:space="preserve">Sean W. </w:t>
      </w:r>
      <w:r w:rsidRPr="00DB1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6F6F6"/>
          <w:lang w:val="en-US"/>
        </w:rPr>
        <w:t>Patellofemoral pain</w:t>
      </w:r>
      <w:r w:rsidRPr="00DB1398">
        <w:rPr>
          <w:rFonts w:ascii="Times New Roman" w:hAnsi="Times New Roman" w:cs="Times New Roman"/>
          <w:b/>
          <w:bCs/>
          <w:color w:val="232323"/>
          <w:sz w:val="24"/>
          <w:szCs w:val="24"/>
          <w:shd w:val="clear" w:color="auto" w:fill="F6F6F6"/>
          <w:lang w:val="en-US"/>
        </w:rPr>
        <w:t xml:space="preserve">. </w:t>
      </w:r>
      <w:proofErr w:type="spellStart"/>
      <w:r w:rsidRPr="00481D46">
        <w:rPr>
          <w:rFonts w:ascii="Times New Roman" w:hAnsi="Times New Roman" w:cs="Times New Roman"/>
          <w:color w:val="232323"/>
          <w:sz w:val="24"/>
          <w:szCs w:val="24"/>
          <w:shd w:val="clear" w:color="auto" w:fill="F6F6F6"/>
        </w:rPr>
        <w:t>UpToDate</w:t>
      </w:r>
      <w:proofErr w:type="spellEnd"/>
      <w:r w:rsidRPr="00481D46">
        <w:rPr>
          <w:rFonts w:ascii="Times New Roman" w:hAnsi="Times New Roman" w:cs="Times New Roman"/>
          <w:color w:val="232323"/>
          <w:sz w:val="24"/>
          <w:szCs w:val="24"/>
          <w:shd w:val="clear" w:color="auto" w:fill="F6F6F6"/>
        </w:rPr>
        <w:t xml:space="preserve">. </w:t>
      </w:r>
      <w:r w:rsidRPr="00481D46">
        <w:rPr>
          <w:rFonts w:ascii="Times New Roman" w:hAnsi="Times New Roman" w:cs="Times New Roman"/>
          <w:color w:val="232323"/>
          <w:sz w:val="24"/>
          <w:szCs w:val="24"/>
          <w:shd w:val="clear" w:color="auto" w:fill="F2F8FC"/>
        </w:rPr>
        <w:t>2023</w:t>
      </w:r>
      <w:r w:rsidRPr="00A27251">
        <w:rPr>
          <w:rFonts w:ascii="Times New Roman" w:hAnsi="Times New Roman" w:cs="Times New Roman"/>
          <w:b/>
          <w:bCs/>
          <w:color w:val="232323"/>
          <w:sz w:val="24"/>
          <w:szCs w:val="24"/>
          <w:shd w:val="clear" w:color="auto" w:fill="F2F8FC"/>
        </w:rPr>
        <w:t xml:space="preserve"> </w:t>
      </w:r>
      <w:r w:rsidRPr="00A272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8FC"/>
        </w:rPr>
        <w:t xml:space="preserve">Disponível em: </w:t>
      </w:r>
      <w:hyperlink r:id="rId10" w:history="1">
        <w:proofErr w:type="spellStart"/>
        <w:r w:rsidRPr="00A27251">
          <w:rPr>
            <w:rStyle w:val="Hyperlink"/>
            <w:rFonts w:ascii="Times New Roman" w:hAnsi="Times New Roman" w:cs="Times New Roman"/>
            <w:sz w:val="24"/>
            <w:szCs w:val="24"/>
          </w:rPr>
          <w:t>Patellofemoral</w:t>
        </w:r>
        <w:proofErr w:type="spellEnd"/>
        <w:r w:rsidRPr="00A2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27251">
          <w:rPr>
            <w:rStyle w:val="Hyperlink"/>
            <w:rFonts w:ascii="Times New Roman" w:hAnsi="Times New Roman" w:cs="Times New Roman"/>
            <w:sz w:val="24"/>
            <w:szCs w:val="24"/>
          </w:rPr>
          <w:t>pain</w:t>
        </w:r>
        <w:proofErr w:type="spellEnd"/>
        <w:r w:rsidRPr="00A2725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Pr="00A27251">
          <w:rPr>
            <w:rStyle w:val="Hyperlink"/>
            <w:rFonts w:ascii="Times New Roman" w:hAnsi="Times New Roman" w:cs="Times New Roman"/>
            <w:sz w:val="24"/>
            <w:szCs w:val="24"/>
          </w:rPr>
          <w:t>UpToDate</w:t>
        </w:r>
        <w:proofErr w:type="spellEnd"/>
      </w:hyperlink>
      <w:r w:rsidRPr="00A272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398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DB1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139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B1398">
        <w:rPr>
          <w:rFonts w:ascii="Times New Roman" w:hAnsi="Times New Roman" w:cs="Times New Roman"/>
          <w:sz w:val="24"/>
          <w:szCs w:val="24"/>
          <w:lang w:val="en-US"/>
        </w:rPr>
        <w:t>: 26 abr. 2024</w:t>
      </w:r>
    </w:p>
    <w:p w14:paraId="6FB81CA7" w14:textId="77777777" w:rsidR="00B27754" w:rsidRPr="00060E20" w:rsidRDefault="00B27754" w:rsidP="00B277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TABARY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ohammadreza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ESFAHANI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zadehsadat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NOURAIE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ehdi;</w:t>
      </w:r>
      <w:r w:rsidRPr="00060E2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et al. </w:t>
      </w:r>
      <w:r w:rsidRPr="00B2775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 xml:space="preserve">Relation of the </w:t>
      </w:r>
      <w:proofErr w:type="spellStart"/>
      <w:r w:rsidRPr="00B2775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chondromalatia</w:t>
      </w:r>
      <w:proofErr w:type="spellEnd"/>
      <w:r w:rsidRPr="00B2775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 xml:space="preserve"> patellae to proximal tibial anatomical parameters, assessed with MRI.</w:t>
      </w:r>
      <w:r w:rsidRPr="00B2775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 </w:t>
      </w:r>
      <w:proofErr w:type="spellStart"/>
      <w:r w:rsidRPr="000652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Radiol</w:t>
      </w:r>
      <w:proofErr w:type="spellEnd"/>
      <w:r w:rsidRPr="000652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Oncol. 54(2):159-167 </w:t>
      </w:r>
      <w:proofErr w:type="gramStart"/>
      <w:r w:rsidRPr="000652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2020..</w:t>
      </w:r>
      <w:proofErr w:type="gramEnd"/>
      <w:r w:rsidRPr="0006527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Disponível em: </w:t>
      </w:r>
      <w:hyperlink r:id="rId11" w:history="1">
        <w:r w:rsidRPr="00382B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https://dx.doi.org/10.2478/raon-2020-0021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A27251">
        <w:rPr>
          <w:rFonts w:ascii="Times New Roman" w:hAnsi="Times New Roman" w:cs="Times New Roman"/>
          <w:sz w:val="24"/>
          <w:szCs w:val="24"/>
        </w:rPr>
        <w:t>Acesso em: 26 abr. 2024</w:t>
      </w:r>
    </w:p>
    <w:p w14:paraId="2DEA982C" w14:textId="0F709BB5" w:rsidR="006A53EE" w:rsidRDefault="006A53EE" w:rsidP="006A53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2217A" w14:textId="7BAE84B0" w:rsidR="006A53EE" w:rsidRPr="006A53EE" w:rsidRDefault="006A53EE" w:rsidP="00D929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A53EE" w:rsidRPr="006A53EE" w:rsidSect="008D6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F297" w14:textId="77777777" w:rsidR="008D6A79" w:rsidRDefault="008D6A79" w:rsidP="006853BB">
      <w:pPr>
        <w:spacing w:after="0" w:line="240" w:lineRule="auto"/>
      </w:pPr>
      <w:r>
        <w:separator/>
      </w:r>
    </w:p>
  </w:endnote>
  <w:endnote w:type="continuationSeparator" w:id="0">
    <w:p w14:paraId="7CB10516" w14:textId="77777777" w:rsidR="008D6A79" w:rsidRDefault="008D6A7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D40C" w14:textId="77777777" w:rsidR="008D6A79" w:rsidRDefault="008D6A79" w:rsidP="006853BB">
      <w:pPr>
        <w:spacing w:after="0" w:line="240" w:lineRule="auto"/>
      </w:pPr>
      <w:r>
        <w:separator/>
      </w:r>
    </w:p>
  </w:footnote>
  <w:footnote w:type="continuationSeparator" w:id="0">
    <w:p w14:paraId="6F8D4E1C" w14:textId="77777777" w:rsidR="008D6A79" w:rsidRDefault="008D6A7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272"/>
    <w:rsid w:val="00065EAD"/>
    <w:rsid w:val="00096961"/>
    <w:rsid w:val="000E04C4"/>
    <w:rsid w:val="0012229F"/>
    <w:rsid w:val="001928B8"/>
    <w:rsid w:val="00195C2C"/>
    <w:rsid w:val="001C0260"/>
    <w:rsid w:val="00211EE2"/>
    <w:rsid w:val="00231CCF"/>
    <w:rsid w:val="00242E51"/>
    <w:rsid w:val="002B3914"/>
    <w:rsid w:val="002E2060"/>
    <w:rsid w:val="002E322B"/>
    <w:rsid w:val="0031484E"/>
    <w:rsid w:val="00323568"/>
    <w:rsid w:val="003320CA"/>
    <w:rsid w:val="0033210D"/>
    <w:rsid w:val="00332F20"/>
    <w:rsid w:val="003523C1"/>
    <w:rsid w:val="00352A99"/>
    <w:rsid w:val="00360690"/>
    <w:rsid w:val="003A7295"/>
    <w:rsid w:val="003E4BF5"/>
    <w:rsid w:val="00407599"/>
    <w:rsid w:val="00430392"/>
    <w:rsid w:val="00476044"/>
    <w:rsid w:val="004865C8"/>
    <w:rsid w:val="00495F83"/>
    <w:rsid w:val="004B6BFD"/>
    <w:rsid w:val="00502D9D"/>
    <w:rsid w:val="00510B09"/>
    <w:rsid w:val="00516DC8"/>
    <w:rsid w:val="00534744"/>
    <w:rsid w:val="005910C1"/>
    <w:rsid w:val="00595149"/>
    <w:rsid w:val="00597AED"/>
    <w:rsid w:val="00597B98"/>
    <w:rsid w:val="005D4BAC"/>
    <w:rsid w:val="005D7313"/>
    <w:rsid w:val="005E00AA"/>
    <w:rsid w:val="005E17B8"/>
    <w:rsid w:val="00606B9B"/>
    <w:rsid w:val="0062317C"/>
    <w:rsid w:val="00636050"/>
    <w:rsid w:val="006720AB"/>
    <w:rsid w:val="00672C58"/>
    <w:rsid w:val="006853BB"/>
    <w:rsid w:val="006A07D2"/>
    <w:rsid w:val="006A53EE"/>
    <w:rsid w:val="006D0FFF"/>
    <w:rsid w:val="006D2309"/>
    <w:rsid w:val="006E4A3F"/>
    <w:rsid w:val="006F6582"/>
    <w:rsid w:val="0070212C"/>
    <w:rsid w:val="00734378"/>
    <w:rsid w:val="00781C18"/>
    <w:rsid w:val="007A5641"/>
    <w:rsid w:val="007C4454"/>
    <w:rsid w:val="007E2219"/>
    <w:rsid w:val="007E5303"/>
    <w:rsid w:val="007F61F7"/>
    <w:rsid w:val="00803A5C"/>
    <w:rsid w:val="00806447"/>
    <w:rsid w:val="0081422B"/>
    <w:rsid w:val="00821ED8"/>
    <w:rsid w:val="0089163C"/>
    <w:rsid w:val="00895FE6"/>
    <w:rsid w:val="00897533"/>
    <w:rsid w:val="008A7587"/>
    <w:rsid w:val="008B06B7"/>
    <w:rsid w:val="008D6A79"/>
    <w:rsid w:val="008F02C2"/>
    <w:rsid w:val="00901A9C"/>
    <w:rsid w:val="00922F29"/>
    <w:rsid w:val="009248B1"/>
    <w:rsid w:val="0093076F"/>
    <w:rsid w:val="009557E9"/>
    <w:rsid w:val="00964993"/>
    <w:rsid w:val="00970A9A"/>
    <w:rsid w:val="00970E4F"/>
    <w:rsid w:val="00987319"/>
    <w:rsid w:val="009A7B11"/>
    <w:rsid w:val="009D0058"/>
    <w:rsid w:val="009E6507"/>
    <w:rsid w:val="00A3530A"/>
    <w:rsid w:val="00A6474C"/>
    <w:rsid w:val="00A960DA"/>
    <w:rsid w:val="00AA61DF"/>
    <w:rsid w:val="00AB02B7"/>
    <w:rsid w:val="00AC277F"/>
    <w:rsid w:val="00AE43CD"/>
    <w:rsid w:val="00AF0F0F"/>
    <w:rsid w:val="00AF6F5F"/>
    <w:rsid w:val="00B27754"/>
    <w:rsid w:val="00B813F3"/>
    <w:rsid w:val="00BD50DF"/>
    <w:rsid w:val="00BF7081"/>
    <w:rsid w:val="00C85CCB"/>
    <w:rsid w:val="00CB084F"/>
    <w:rsid w:val="00CC0878"/>
    <w:rsid w:val="00CD25F8"/>
    <w:rsid w:val="00CE71D7"/>
    <w:rsid w:val="00CE7751"/>
    <w:rsid w:val="00D0352A"/>
    <w:rsid w:val="00D929C9"/>
    <w:rsid w:val="00DD3FFA"/>
    <w:rsid w:val="00DF46EE"/>
    <w:rsid w:val="00DF5B45"/>
    <w:rsid w:val="00DF5FCD"/>
    <w:rsid w:val="00E32852"/>
    <w:rsid w:val="00E33969"/>
    <w:rsid w:val="00E46875"/>
    <w:rsid w:val="00E5075D"/>
    <w:rsid w:val="00E7091C"/>
    <w:rsid w:val="00E92155"/>
    <w:rsid w:val="00F13F4E"/>
    <w:rsid w:val="00F62B6C"/>
    <w:rsid w:val="00F8323D"/>
    <w:rsid w:val="00FA7DCB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4B6BFD"/>
    <w:rPr>
      <w:color w:val="808080"/>
    </w:rPr>
  </w:style>
  <w:style w:type="paragraph" w:styleId="NormalWeb">
    <w:name w:val="Normal (Web)"/>
    <w:basedOn w:val="Normal"/>
    <w:uiPriority w:val="99"/>
    <w:unhideWhenUsed/>
    <w:rsid w:val="005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4B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D4BA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D4BAC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0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0A9A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70A9A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da.minhabiblioteca.com.b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4085/1062-6050-43.2.19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x.doi.org/10.2478/raon-2020-0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ptodate.com/contents/patellofemoral-pain?csi=118bf363-133c-4b16-908b-64a8c0de325e&amp;source=contentShar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1371/journal.pone.02653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AE57D-E9FD-4690-A58A-38DC1BCF2BDD}">
  <we:reference id="wa104382081" version="1.55.1.0" store="pt-BR" storeType="OMEX"/>
  <we:alternateReferences>
    <we:reference id="WA104382081" version="1.55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26A-5A4F-46FB-BE74-6912EDC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27352</cp:lastModifiedBy>
  <cp:revision>2</cp:revision>
  <cp:lastPrinted>2024-04-23T20:59:00Z</cp:lastPrinted>
  <dcterms:created xsi:type="dcterms:W3CDTF">2024-04-29T21:52:00Z</dcterms:created>
  <dcterms:modified xsi:type="dcterms:W3CDTF">2024-04-29T21:52:00Z</dcterms:modified>
</cp:coreProperties>
</file>