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D30A4" w14:textId="5A7EE127" w:rsidR="008D222F" w:rsidRDefault="001515D1">
      <w:pPr>
        <w:pBdr>
          <w:bottom w:val="none" w:sz="0" w:space="8" w:color="000000"/>
        </w:pBdr>
        <w:shd w:val="clear" w:color="auto" w:fill="FFFFFF"/>
        <w:tabs>
          <w:tab w:val="left" w:pos="2500"/>
        </w:tabs>
        <w:jc w:val="center"/>
        <w:rPr>
          <w:b/>
          <w:bCs/>
          <w:sz w:val="24"/>
          <w:szCs w:val="24"/>
        </w:rPr>
      </w:pPr>
      <w:r w:rsidRPr="00343328">
        <w:rPr>
          <w:b/>
          <w:bCs/>
          <w:sz w:val="24"/>
          <w:szCs w:val="24"/>
        </w:rPr>
        <w:t xml:space="preserve">A LEISHMANIOSE VISCERAL NO MUNICÍPIO DE CAMETÁ (REGIÃO DO BAIXO TOCANTINS, PARÁ) ENTRE OS ANOS DE 2020 E 2024: UMA ANÁLISE DO PERFIL EPIDEMIOLÓGICO </w:t>
      </w:r>
    </w:p>
    <w:p w14:paraId="27271048" w14:textId="77777777" w:rsidR="001515D1" w:rsidRPr="00343328" w:rsidRDefault="001515D1">
      <w:pPr>
        <w:pBdr>
          <w:bottom w:val="none" w:sz="0" w:space="8" w:color="000000"/>
        </w:pBdr>
        <w:shd w:val="clear" w:color="auto" w:fill="FFFFFF"/>
        <w:tabs>
          <w:tab w:val="left" w:pos="2500"/>
        </w:tabs>
        <w:jc w:val="center"/>
        <w:rPr>
          <w:b/>
          <w:bCs/>
          <w:sz w:val="24"/>
          <w:szCs w:val="24"/>
        </w:rPr>
      </w:pPr>
    </w:p>
    <w:p w14:paraId="5E0FFDC9" w14:textId="77777777" w:rsidR="008D222F" w:rsidRPr="00343328" w:rsidRDefault="00000000">
      <w:pPr>
        <w:shd w:val="clear" w:color="auto" w:fill="FFFFFF"/>
        <w:tabs>
          <w:tab w:val="left" w:pos="2500"/>
        </w:tabs>
        <w:jc w:val="center"/>
        <w:rPr>
          <w:color w:val="FF0000"/>
          <w:sz w:val="24"/>
          <w:szCs w:val="24"/>
        </w:rPr>
      </w:pPr>
      <w:r w:rsidRPr="00343328">
        <w:rPr>
          <w:sz w:val="24"/>
          <w:szCs w:val="24"/>
        </w:rPr>
        <w:t>Gabriela Pompeu Siqueira</w:t>
      </w:r>
      <w:r w:rsidRPr="00343328">
        <w:rPr>
          <w:sz w:val="24"/>
          <w:szCs w:val="24"/>
          <w:vertAlign w:val="superscript"/>
        </w:rPr>
        <w:t>1</w:t>
      </w:r>
      <w:r w:rsidRPr="00343328">
        <w:rPr>
          <w:sz w:val="24"/>
          <w:szCs w:val="24"/>
        </w:rPr>
        <w:t xml:space="preserve">; Christian de Mello Vieira </w:t>
      </w:r>
      <w:r w:rsidRPr="00343328">
        <w:rPr>
          <w:sz w:val="24"/>
          <w:szCs w:val="24"/>
          <w:vertAlign w:val="superscript"/>
        </w:rPr>
        <w:t xml:space="preserve">2 </w:t>
      </w:r>
      <w:r w:rsidRPr="00343328">
        <w:rPr>
          <w:sz w:val="24"/>
          <w:szCs w:val="24"/>
        </w:rPr>
        <w:t>Alcindo da Silva Martins Junior</w:t>
      </w:r>
      <w:r w:rsidRPr="00343328">
        <w:rPr>
          <w:sz w:val="24"/>
          <w:szCs w:val="24"/>
          <w:vertAlign w:val="superscript"/>
        </w:rPr>
        <w:t>3</w:t>
      </w:r>
      <w:r w:rsidRPr="00343328">
        <w:rPr>
          <w:sz w:val="24"/>
          <w:szCs w:val="24"/>
        </w:rPr>
        <w:t>.</w:t>
      </w:r>
    </w:p>
    <w:p w14:paraId="2687EBAD" w14:textId="77777777" w:rsidR="008D222F" w:rsidRPr="00343328" w:rsidRDefault="008D222F">
      <w:pPr>
        <w:shd w:val="clear" w:color="auto" w:fill="FFFFFF"/>
        <w:tabs>
          <w:tab w:val="left" w:pos="2500"/>
        </w:tabs>
        <w:jc w:val="center"/>
        <w:rPr>
          <w:b/>
          <w:bCs/>
          <w:color w:val="FF0000"/>
          <w:sz w:val="24"/>
          <w:szCs w:val="24"/>
        </w:rPr>
      </w:pPr>
    </w:p>
    <w:p w14:paraId="476915A7" w14:textId="7CEDAC05" w:rsidR="008D222F" w:rsidRPr="00343328" w:rsidRDefault="00000000">
      <w:pPr>
        <w:keepLines/>
        <w:shd w:val="clear" w:color="auto" w:fill="FFFFFF"/>
        <w:tabs>
          <w:tab w:val="left" w:pos="2500"/>
        </w:tabs>
        <w:jc w:val="center"/>
        <w:rPr>
          <w:sz w:val="24"/>
          <w:szCs w:val="24"/>
        </w:rPr>
      </w:pPr>
      <w:r w:rsidRPr="00343328">
        <w:rPr>
          <w:sz w:val="24"/>
          <w:szCs w:val="24"/>
          <w:vertAlign w:val="superscript"/>
        </w:rPr>
        <w:t xml:space="preserve">1 </w:t>
      </w:r>
      <w:r w:rsidRPr="00343328">
        <w:rPr>
          <w:sz w:val="24"/>
          <w:szCs w:val="24"/>
        </w:rPr>
        <w:t>Mestranda do Programa de Pós-Graduação em Educação e Ensino de Ciências na Amazônia. Universidade do Estado do Pará.</w:t>
      </w:r>
      <w:r w:rsidR="009D1D57">
        <w:rPr>
          <w:sz w:val="24"/>
          <w:szCs w:val="24"/>
        </w:rPr>
        <w:t xml:space="preserve"> </w:t>
      </w:r>
      <w:r w:rsidRPr="00C23E30">
        <w:fldChar w:fldCharType="begin"/>
      </w:r>
      <w:r w:rsidRPr="00C23E30">
        <w:instrText>HYPERLINK "mailto:gabriela.siqueira@aluno.uepa.br"</w:instrText>
      </w:r>
      <w:r w:rsidRPr="00C23E30">
        <w:fldChar w:fldCharType="separate"/>
      </w:r>
      <w:r w:rsidR="009D1D57" w:rsidRPr="00C23E30">
        <w:rPr>
          <w:rStyle w:val="Hyperlink"/>
          <w:color w:val="auto"/>
          <w:sz w:val="24"/>
          <w:szCs w:val="24"/>
          <w:u w:val="none"/>
        </w:rPr>
        <w:t>g</w:t>
      </w:r>
      <w:r w:rsidR="009D1D57" w:rsidRPr="00C23E30">
        <w:rPr>
          <w:rStyle w:val="Hyperlink"/>
          <w:color w:val="auto"/>
          <w:u w:val="none"/>
        </w:rPr>
        <w:t>abriela.siqueira@aluno.uepa.br</w:t>
      </w:r>
      <w:r w:rsidRPr="00C23E30">
        <w:rPr>
          <w:rStyle w:val="Hyperlink"/>
          <w:color w:val="auto"/>
          <w:u w:val="none"/>
        </w:rPr>
        <w:fldChar w:fldCharType="end"/>
      </w:r>
      <w:r w:rsidR="009D1D57" w:rsidRPr="00C23E30">
        <w:t xml:space="preserve"> </w:t>
      </w:r>
    </w:p>
    <w:p w14:paraId="25707E49" w14:textId="77777777" w:rsidR="008D222F" w:rsidRPr="00343328" w:rsidRDefault="00000000">
      <w:pPr>
        <w:keepLines/>
        <w:shd w:val="clear" w:color="auto" w:fill="FFFFFF"/>
        <w:tabs>
          <w:tab w:val="left" w:pos="2500"/>
        </w:tabs>
        <w:jc w:val="center"/>
        <w:rPr>
          <w:sz w:val="24"/>
          <w:szCs w:val="24"/>
        </w:rPr>
      </w:pPr>
      <w:r w:rsidRPr="00343328">
        <w:rPr>
          <w:sz w:val="24"/>
          <w:szCs w:val="24"/>
          <w:vertAlign w:val="superscript"/>
        </w:rPr>
        <w:t xml:space="preserve">2 </w:t>
      </w:r>
      <w:r w:rsidRPr="00343328">
        <w:rPr>
          <w:sz w:val="24"/>
          <w:szCs w:val="24"/>
        </w:rPr>
        <w:t xml:space="preserve">Mestre em Ecologia e Conservação de Recursos Naturais (UFU). Professor da Universidade do Estado do Pará. </w:t>
      </w:r>
    </w:p>
    <w:p w14:paraId="67A98F75" w14:textId="77777777" w:rsidR="008D222F" w:rsidRPr="00343328" w:rsidRDefault="00000000">
      <w:pPr>
        <w:keepLines/>
        <w:shd w:val="clear" w:color="auto" w:fill="FFFFFF"/>
        <w:tabs>
          <w:tab w:val="left" w:pos="2500"/>
        </w:tabs>
        <w:jc w:val="center"/>
        <w:rPr>
          <w:sz w:val="24"/>
          <w:szCs w:val="24"/>
        </w:rPr>
      </w:pPr>
      <w:r w:rsidRPr="00343328">
        <w:rPr>
          <w:sz w:val="24"/>
          <w:szCs w:val="24"/>
          <w:vertAlign w:val="superscript"/>
        </w:rPr>
        <w:t xml:space="preserve">3 </w:t>
      </w:r>
      <w:r w:rsidRPr="00343328">
        <w:rPr>
          <w:sz w:val="24"/>
          <w:szCs w:val="24"/>
        </w:rPr>
        <w:t xml:space="preserve">Doutor em Botânica pela Escola Nacional de Botânica Tropical (ENBT/JBRJ). Professor da Universidade do Estado do Pará. </w:t>
      </w:r>
    </w:p>
    <w:p w14:paraId="6EF16CA5" w14:textId="77777777" w:rsidR="008D222F" w:rsidRPr="00343328" w:rsidRDefault="008D222F">
      <w:pPr>
        <w:keepLines/>
        <w:shd w:val="clear" w:color="auto" w:fill="FFFFFF"/>
        <w:tabs>
          <w:tab w:val="left" w:pos="2500"/>
        </w:tabs>
        <w:jc w:val="center"/>
        <w:rPr>
          <w:sz w:val="24"/>
          <w:szCs w:val="24"/>
        </w:rPr>
      </w:pPr>
    </w:p>
    <w:p w14:paraId="79852B09" w14:textId="337CA46B" w:rsidR="008D222F" w:rsidRPr="001515D1" w:rsidRDefault="00000000" w:rsidP="001515D1">
      <w:pPr>
        <w:pBdr>
          <w:bottom w:val="none" w:sz="0" w:space="8" w:color="000000"/>
        </w:pBdr>
        <w:shd w:val="clear" w:color="auto" w:fill="FFFFFF"/>
        <w:tabs>
          <w:tab w:val="left" w:pos="2500"/>
        </w:tabs>
        <w:jc w:val="center"/>
        <w:rPr>
          <w:b/>
          <w:bCs/>
          <w:sz w:val="24"/>
          <w:szCs w:val="24"/>
          <w:u w:val="single"/>
        </w:rPr>
      </w:pPr>
      <w:r w:rsidRPr="00343328">
        <w:rPr>
          <w:b/>
          <w:bCs/>
          <w:sz w:val="24"/>
          <w:szCs w:val="24"/>
          <w:u w:val="single"/>
        </w:rPr>
        <w:t>RESUMO</w:t>
      </w:r>
    </w:p>
    <w:p w14:paraId="04D0F541" w14:textId="77777777" w:rsidR="008D222F" w:rsidRPr="00343328" w:rsidRDefault="00000000">
      <w:pPr>
        <w:shd w:val="clear" w:color="auto" w:fill="FFFFFF"/>
        <w:tabs>
          <w:tab w:val="left" w:pos="2500"/>
        </w:tabs>
        <w:jc w:val="both"/>
        <w:rPr>
          <w:sz w:val="24"/>
          <w:szCs w:val="24"/>
        </w:rPr>
      </w:pPr>
      <w:r w:rsidRPr="00343328">
        <w:rPr>
          <w:sz w:val="24"/>
          <w:szCs w:val="24"/>
        </w:rPr>
        <w:t>Este estudo teve o objetivo de descrever o perfil epidemiológico da Leishmaniose Visceral (LV) no município de Cametá, no período de 2020 a 2024. A relevância  da investigação  fundamenta-se na  persistência como uma Doença Tropical Negligenciada com elevada incidência na Amazônia, particularmente em áreas marcadas por vulnerabilidades socioeconômicas. Trata-se de um estudo epidemiológico descritivo, de série histórica, baseado em dados secundários do Sistema de Informação de Agravos de Notificação (SINAN) e do Instituto Brasileiro de Geografia e Estatística (IBGE). Os dados foram organizados e analisados com auxílio de planilha eletrônica, incluindo  cálculos de incidência, mortalidade e proporções. No período analisado foram confirmados 22 casos de LV, com maior incidência em 2020. Observou-se o predomínio do sexo masculino (54,5%), de crianças (72,8%) e de indivíduos autodeclarados pardos (86,4%). O método diagnóstico laboratorial respondeu por 91% das confirmações e a maioria dos casos evoluiu para a cura (36,3%). Não houve óbitos registrados. A análise evidencia fragilidades no preenchimento das fichas de notificação e  possível subnotificação, especialmente durante a pandemia de COVID-19, reforçando a necessidade de aprimoramento das ações de vigilância, educação em saúde e qualificação das bases de dados epidemiológicas.</w:t>
      </w:r>
    </w:p>
    <w:p w14:paraId="5F5D7130" w14:textId="77777777" w:rsidR="008D222F" w:rsidRPr="00343328" w:rsidRDefault="008D222F">
      <w:pPr>
        <w:shd w:val="clear" w:color="auto" w:fill="FFFFFF"/>
        <w:tabs>
          <w:tab w:val="left" w:pos="2500"/>
        </w:tabs>
        <w:jc w:val="both"/>
        <w:rPr>
          <w:sz w:val="24"/>
          <w:szCs w:val="24"/>
        </w:rPr>
      </w:pPr>
    </w:p>
    <w:p w14:paraId="1ECC2F95" w14:textId="77777777" w:rsidR="008D222F" w:rsidRPr="00343328" w:rsidRDefault="00000000">
      <w:pPr>
        <w:shd w:val="clear" w:color="auto" w:fill="FFFFFF"/>
        <w:tabs>
          <w:tab w:val="left" w:pos="2500"/>
        </w:tabs>
        <w:rPr>
          <w:color w:val="FF0000"/>
          <w:sz w:val="24"/>
          <w:szCs w:val="24"/>
        </w:rPr>
      </w:pPr>
      <w:r w:rsidRPr="00343328">
        <w:rPr>
          <w:b/>
          <w:bCs/>
          <w:sz w:val="24"/>
          <w:szCs w:val="24"/>
        </w:rPr>
        <w:t xml:space="preserve">Palavras-chave:  </w:t>
      </w:r>
      <w:r w:rsidRPr="00343328">
        <w:rPr>
          <w:sz w:val="24"/>
          <w:szCs w:val="24"/>
        </w:rPr>
        <w:t>Leishmania. Doenças Tropicais Negligenciadas. Amazônia. Vigilância em saúde.</w:t>
      </w:r>
    </w:p>
    <w:p w14:paraId="1A4A253F" w14:textId="77777777" w:rsidR="008D222F" w:rsidRPr="00343328" w:rsidRDefault="008D222F">
      <w:pPr>
        <w:shd w:val="clear" w:color="auto" w:fill="FFFFFF"/>
        <w:tabs>
          <w:tab w:val="left" w:pos="2500"/>
        </w:tabs>
        <w:jc w:val="center"/>
        <w:rPr>
          <w:sz w:val="24"/>
          <w:szCs w:val="24"/>
        </w:rPr>
      </w:pPr>
    </w:p>
    <w:p w14:paraId="2983AB9E" w14:textId="77777777" w:rsidR="008D222F" w:rsidRPr="00343328" w:rsidRDefault="00000000">
      <w:pPr>
        <w:shd w:val="clear" w:color="auto" w:fill="FFFFFF"/>
        <w:tabs>
          <w:tab w:val="left" w:pos="2500"/>
        </w:tabs>
        <w:rPr>
          <w:b/>
          <w:bCs/>
          <w:color w:val="0000FF"/>
          <w:sz w:val="24"/>
          <w:szCs w:val="24"/>
          <w:u w:val="single"/>
        </w:rPr>
      </w:pPr>
      <w:r w:rsidRPr="00343328">
        <w:rPr>
          <w:b/>
          <w:bCs/>
          <w:sz w:val="24"/>
          <w:szCs w:val="24"/>
        </w:rPr>
        <w:t>Área de Interesse do Simpósio</w:t>
      </w:r>
      <w:r w:rsidRPr="00343328">
        <w:rPr>
          <w:sz w:val="24"/>
          <w:szCs w:val="24"/>
        </w:rPr>
        <w:t>: Ciências Biológicas.</w:t>
      </w:r>
    </w:p>
    <w:p w14:paraId="3B5B9C0C" w14:textId="77777777" w:rsidR="008D222F" w:rsidRPr="00343328" w:rsidRDefault="008D222F">
      <w:pPr>
        <w:pBdr>
          <w:bottom w:val="none" w:sz="0" w:space="8" w:color="000000"/>
        </w:pBdr>
        <w:shd w:val="clear" w:color="auto" w:fill="FFFFFF"/>
        <w:tabs>
          <w:tab w:val="left" w:pos="2500"/>
        </w:tabs>
        <w:rPr>
          <w:b/>
          <w:bCs/>
          <w:sz w:val="24"/>
          <w:szCs w:val="24"/>
        </w:rPr>
      </w:pPr>
    </w:p>
    <w:p w14:paraId="447E556C" w14:textId="77777777" w:rsidR="008D222F" w:rsidRPr="00343328" w:rsidRDefault="00000000">
      <w:pPr>
        <w:pBdr>
          <w:bottom w:val="none" w:sz="0" w:space="18" w:color="000000"/>
        </w:pBdr>
        <w:shd w:val="clear" w:color="auto" w:fill="FFFFFF"/>
        <w:tabs>
          <w:tab w:val="left" w:pos="2500"/>
        </w:tabs>
        <w:spacing w:line="360" w:lineRule="auto"/>
        <w:jc w:val="both"/>
        <w:rPr>
          <w:color w:val="FF0000"/>
          <w:sz w:val="24"/>
          <w:szCs w:val="24"/>
        </w:rPr>
      </w:pPr>
      <w:r w:rsidRPr="00343328">
        <w:rPr>
          <w:b/>
          <w:bCs/>
          <w:sz w:val="24"/>
          <w:szCs w:val="24"/>
        </w:rPr>
        <w:t>1. INTRODUÇÃO</w:t>
      </w:r>
    </w:p>
    <w:p w14:paraId="3D9FDAA3" w14:textId="77777777" w:rsidR="008D222F" w:rsidRPr="00343328" w:rsidRDefault="00000000">
      <w:pPr>
        <w:pBdr>
          <w:bottom w:val="none" w:sz="0" w:space="18" w:color="000000"/>
        </w:pBdr>
        <w:shd w:val="clear" w:color="auto" w:fill="FFFFFF"/>
        <w:tabs>
          <w:tab w:val="left" w:pos="709"/>
        </w:tabs>
        <w:spacing w:line="360" w:lineRule="auto"/>
        <w:jc w:val="both"/>
        <w:rPr>
          <w:sz w:val="24"/>
          <w:szCs w:val="24"/>
        </w:rPr>
      </w:pPr>
      <w:r w:rsidRPr="00343328">
        <w:rPr>
          <w:color w:val="FF0000"/>
          <w:sz w:val="24"/>
          <w:szCs w:val="24"/>
        </w:rPr>
        <w:tab/>
      </w:r>
      <w:r w:rsidRPr="00343328">
        <w:rPr>
          <w:sz w:val="24"/>
          <w:szCs w:val="24"/>
        </w:rPr>
        <w:t>Considerada uma Doença Tropical Negligenciada (DTN), a leishmaniose constitui-se como uma infecção parasitária causada por diferentes espécies de protozoários do gênero</w:t>
      </w:r>
      <w:r w:rsidRPr="00343328">
        <w:rPr>
          <w:i/>
          <w:iCs/>
          <w:sz w:val="24"/>
          <w:szCs w:val="24"/>
        </w:rPr>
        <w:t xml:space="preserve"> Leishmania</w:t>
      </w:r>
      <w:r w:rsidRPr="00343328">
        <w:rPr>
          <w:sz w:val="24"/>
          <w:szCs w:val="24"/>
        </w:rPr>
        <w:t xml:space="preserve">, destacando-se </w:t>
      </w:r>
      <w:r w:rsidRPr="00343328">
        <w:rPr>
          <w:i/>
          <w:iCs/>
          <w:sz w:val="24"/>
          <w:szCs w:val="24"/>
        </w:rPr>
        <w:t>Leishmania chagasi</w:t>
      </w:r>
      <w:r w:rsidRPr="00343328">
        <w:rPr>
          <w:sz w:val="24"/>
          <w:szCs w:val="24"/>
        </w:rPr>
        <w:t xml:space="preserve">. A transmissão ocorre pela picada  de fêmeas de flebotomíneos, principalmente </w:t>
      </w:r>
      <w:r w:rsidRPr="00343328">
        <w:rPr>
          <w:i/>
          <w:iCs/>
          <w:sz w:val="24"/>
          <w:szCs w:val="24"/>
        </w:rPr>
        <w:t xml:space="preserve">Lutzomyia longigalpis, </w:t>
      </w:r>
      <w:r w:rsidRPr="00343328">
        <w:rPr>
          <w:sz w:val="24"/>
          <w:szCs w:val="24"/>
        </w:rPr>
        <w:t xml:space="preserve">popularmente conhecidos como </w:t>
      </w:r>
      <w:r w:rsidRPr="00343328">
        <w:rPr>
          <w:sz w:val="24"/>
          <w:szCs w:val="24"/>
        </w:rPr>
        <w:lastRenderedPageBreak/>
        <w:t xml:space="preserve">“mosquito-palha”, “birigui” ou “tatuquira” em distintas regiões do Brasil (Camargo e Barcinski, 2003). O cão doméstico representa o principal reservatório do parasito no ciclo urbano, contudo, indicam a ocorrência de infecção de raposas e marsupiais em ambientes silvestres, o que evidencia a complexidade ecoepidemiológica da doença </w:t>
      </w:r>
      <w:r w:rsidR="007151EF" w:rsidRPr="00343328">
        <w:rPr>
          <w:sz w:val="24"/>
          <w:szCs w:val="24"/>
        </w:rPr>
        <w:t>(</w:t>
      </w:r>
      <w:r w:rsidRPr="00343328">
        <w:rPr>
          <w:sz w:val="24"/>
          <w:szCs w:val="24"/>
        </w:rPr>
        <w:t xml:space="preserve">Miranda </w:t>
      </w:r>
      <w:r w:rsidRPr="00343328">
        <w:rPr>
          <w:i/>
          <w:iCs/>
          <w:sz w:val="24"/>
          <w:szCs w:val="24"/>
        </w:rPr>
        <w:t>et al</w:t>
      </w:r>
      <w:r w:rsidRPr="00343328">
        <w:rPr>
          <w:sz w:val="24"/>
          <w:szCs w:val="24"/>
        </w:rPr>
        <w:t xml:space="preserve"> 2021).</w:t>
      </w:r>
    </w:p>
    <w:p w14:paraId="38938737" w14:textId="0B653E54" w:rsidR="008D222F" w:rsidRPr="00343328" w:rsidRDefault="00000000">
      <w:pPr>
        <w:pBdr>
          <w:bottom w:val="none" w:sz="0" w:space="18" w:color="000000"/>
        </w:pBdr>
        <w:shd w:val="clear" w:color="auto" w:fill="FFFFFF"/>
        <w:tabs>
          <w:tab w:val="left" w:pos="699"/>
        </w:tabs>
        <w:spacing w:line="360" w:lineRule="auto"/>
        <w:jc w:val="both"/>
        <w:rPr>
          <w:sz w:val="24"/>
          <w:szCs w:val="24"/>
        </w:rPr>
      </w:pPr>
      <w:r w:rsidRPr="00343328">
        <w:rPr>
          <w:sz w:val="24"/>
          <w:szCs w:val="24"/>
        </w:rPr>
        <w:tab/>
        <w:t xml:space="preserve">A infecção por parasitos do gênero </w:t>
      </w:r>
      <w:r w:rsidRPr="00343328">
        <w:rPr>
          <w:i/>
          <w:iCs/>
          <w:sz w:val="24"/>
          <w:szCs w:val="24"/>
        </w:rPr>
        <w:t>Leishmania</w:t>
      </w:r>
      <w:r w:rsidRPr="00343328">
        <w:rPr>
          <w:sz w:val="24"/>
          <w:szCs w:val="24"/>
        </w:rPr>
        <w:t xml:space="preserve"> pode desencadear síndromes clínicas  distintas, cada uma com etiologia e dinâmica epidemiológicas próprias, incluindo as formas  visceral (LV), cutânea (LC) e mucocutânea (LMC) (BRASIL, 2011). No presente estudo, o foco recai sobre a Leishmaniose Visceral, em função de seu caráter endêmico, das elevadas taxas de mortalidade observadas sobretudo entre indivíduos em situação de vulnerabilidade social (Lima, </w:t>
      </w:r>
      <w:r w:rsidRPr="00343328">
        <w:rPr>
          <w:i/>
          <w:iCs/>
          <w:sz w:val="24"/>
          <w:szCs w:val="24"/>
        </w:rPr>
        <w:t>et al</w:t>
      </w:r>
      <w:r w:rsidRPr="00343328">
        <w:rPr>
          <w:sz w:val="24"/>
          <w:szCs w:val="24"/>
        </w:rPr>
        <w:t>, 2017) e de sua classificação  como doença de notificação compulsória no Brasil (B</w:t>
      </w:r>
      <w:r w:rsidR="001515D1" w:rsidRPr="00343328">
        <w:rPr>
          <w:sz w:val="24"/>
          <w:szCs w:val="24"/>
        </w:rPr>
        <w:t>rasil</w:t>
      </w:r>
      <w:r w:rsidRPr="00343328">
        <w:rPr>
          <w:sz w:val="24"/>
          <w:szCs w:val="24"/>
        </w:rPr>
        <w:t xml:space="preserve">, 2011). Tais elementos reforçam a relevância de investigações direcionadas a esse agravo para subsidiar ações de vigilância e controle. </w:t>
      </w:r>
    </w:p>
    <w:p w14:paraId="0EB72752" w14:textId="77777777" w:rsidR="008D222F" w:rsidRPr="00343328" w:rsidRDefault="00000000">
      <w:pPr>
        <w:pBdr>
          <w:bottom w:val="none" w:sz="0" w:space="18" w:color="000000"/>
        </w:pBdr>
        <w:shd w:val="clear" w:color="auto" w:fill="FFFFFF"/>
        <w:tabs>
          <w:tab w:val="left" w:pos="699"/>
        </w:tabs>
        <w:spacing w:line="360" w:lineRule="auto"/>
        <w:jc w:val="both"/>
        <w:rPr>
          <w:sz w:val="24"/>
          <w:szCs w:val="24"/>
        </w:rPr>
      </w:pPr>
      <w:r w:rsidRPr="00343328">
        <w:rPr>
          <w:sz w:val="24"/>
          <w:szCs w:val="24"/>
        </w:rPr>
        <w:tab/>
        <w:t xml:space="preserve">A LV apresenta caráter sistêmico e um quadro clínico complexo, podendo manifestar-se de forma assintomática, aguda, crônica ou altamente debilitante quando não diagnosticada e tratada precocemente. A febre persistente é o sintoma mais característico (Rey, 2008), embora seja comum a ocorrência de hepatoesplenomegalia em decorrente da proliferação do parasito no interior de células do sistema mononuclear fagocitário. Palidez cutâneo-mucosa, anemia severa, perda de força muscular, tosse seca, edema e episódios hemorrágicos também podem ser observados. Além disso, a doença pode evoluir  para formas graves quando associada a condições de subnutrição ou a comorbidades que comprometem o sistema imunológico, como a coinfecção por HIV/AIDS (Correia, 2015). </w:t>
      </w:r>
    </w:p>
    <w:p w14:paraId="236C1C34" w14:textId="77777777" w:rsidR="008D222F" w:rsidRPr="00343328" w:rsidRDefault="00000000">
      <w:pPr>
        <w:pBdr>
          <w:bottom w:val="none" w:sz="0" w:space="18" w:color="000000"/>
        </w:pBdr>
        <w:shd w:val="clear" w:color="auto" w:fill="FFFFFF"/>
        <w:tabs>
          <w:tab w:val="left" w:pos="699"/>
        </w:tabs>
        <w:spacing w:line="360" w:lineRule="auto"/>
        <w:jc w:val="both"/>
        <w:rPr>
          <w:sz w:val="24"/>
          <w:szCs w:val="24"/>
        </w:rPr>
      </w:pPr>
      <w:r w:rsidRPr="00343328">
        <w:rPr>
          <w:sz w:val="24"/>
          <w:szCs w:val="24"/>
        </w:rPr>
        <w:tab/>
        <w:t xml:space="preserve">Em 2023, a Leishmaniose Visceral registrou cerca de dois mil novos casos no Brasil. Embora os dados indiquem uma relativa estabilização nos últimos anos, a doença permanece como a forma mais grave e letal entre as leishmanioses, caracterizando-se pela ocorrência de surtos localizados principalmente nas regiões Norte e Nordeste (Brasil, 2024). No estado do Pará, conforme informações do Painel de Monitoramento da Leishmaniose Visceral, o agravo figura entre os mais incidentes do país, posicionando o estado em quarto lugar em número de casos, atrás apenas de Maranhão, Ceará e Minas Gerais. No recorte municipal, a estratificação de risco para o período de 2022 a 2024 indica que Cametá, </w:t>
      </w:r>
      <w:r w:rsidRPr="00343328">
        <w:rPr>
          <w:i/>
          <w:iCs/>
          <w:sz w:val="24"/>
          <w:szCs w:val="24"/>
        </w:rPr>
        <w:t>lócus</w:t>
      </w:r>
      <w:r w:rsidRPr="00343328">
        <w:rPr>
          <w:sz w:val="24"/>
          <w:szCs w:val="24"/>
        </w:rPr>
        <w:t xml:space="preserve"> deste estudo, apresenta classificação de alta intensidade, com média anual de 4,0 casos, incidência de 0,97 e índice </w:t>
      </w:r>
      <w:r w:rsidRPr="00343328">
        <w:rPr>
          <w:sz w:val="24"/>
          <w:szCs w:val="24"/>
        </w:rPr>
        <w:lastRenderedPageBreak/>
        <w:t>composto de 0,9510756 (Brasil, 2025).</w:t>
      </w:r>
    </w:p>
    <w:p w14:paraId="0582BF33" w14:textId="77777777" w:rsidR="008D222F" w:rsidRPr="00343328" w:rsidRDefault="00000000">
      <w:pPr>
        <w:pBdr>
          <w:bottom w:val="none" w:sz="0" w:space="18" w:color="000000"/>
        </w:pBdr>
        <w:shd w:val="clear" w:color="auto" w:fill="FFFFFF"/>
        <w:tabs>
          <w:tab w:val="left" w:pos="699"/>
        </w:tabs>
        <w:spacing w:line="360" w:lineRule="auto"/>
        <w:jc w:val="both"/>
        <w:rPr>
          <w:sz w:val="24"/>
          <w:szCs w:val="24"/>
        </w:rPr>
      </w:pPr>
      <w:r w:rsidRPr="00343328">
        <w:rPr>
          <w:sz w:val="24"/>
          <w:szCs w:val="24"/>
        </w:rPr>
        <w:tab/>
        <w:t xml:space="preserve">Diante deste cenário, o estudo mostra-se relevante à comunidade científica por oferecer uma visão abrangente da situação clínica e epidemiológica da LV em Cametá. A escolha do município decorre não apenas da elevada intensidade de ocorrência do agravo, mas também de sua importância como polo de referência em saúde para localidades vizinhas, que encaminham diariamente inúmeros  pacientes acometidos por diferentes patologias, incluindo a LV. </w:t>
      </w:r>
    </w:p>
    <w:p w14:paraId="03EDC5DF" w14:textId="77777777" w:rsidR="008D222F" w:rsidRPr="00343328" w:rsidRDefault="00000000">
      <w:pPr>
        <w:pBdr>
          <w:bottom w:val="none" w:sz="0" w:space="18" w:color="000000"/>
        </w:pBdr>
        <w:shd w:val="clear" w:color="auto" w:fill="FFFFFF"/>
        <w:tabs>
          <w:tab w:val="left" w:pos="699"/>
        </w:tabs>
        <w:spacing w:line="360" w:lineRule="auto"/>
        <w:jc w:val="both"/>
        <w:rPr>
          <w:sz w:val="24"/>
          <w:szCs w:val="24"/>
        </w:rPr>
      </w:pPr>
      <w:r w:rsidRPr="00343328">
        <w:rPr>
          <w:sz w:val="24"/>
          <w:szCs w:val="24"/>
        </w:rPr>
        <w:tab/>
        <w:t xml:space="preserve">Considerando a gravidade, expansão e impactos da LV, este estudo  teve como objetivo caracterizar o perfil epidemiológico da </w:t>
      </w:r>
      <w:r w:rsidR="00CF6E2E">
        <w:rPr>
          <w:sz w:val="24"/>
          <w:szCs w:val="24"/>
        </w:rPr>
        <w:t>LV</w:t>
      </w:r>
      <w:r w:rsidRPr="00343328">
        <w:rPr>
          <w:sz w:val="24"/>
          <w:szCs w:val="24"/>
        </w:rPr>
        <w:t xml:space="preserve"> no município de Cametá, período de 2020 a 2024, analisando os fatores sociais, ambientais, econômicos e culturais associados a esse agravo que afeta a saúde da população, de forma individual e coletiva. </w:t>
      </w:r>
    </w:p>
    <w:p w14:paraId="53CCB448" w14:textId="77777777" w:rsidR="008D222F" w:rsidRPr="00343328" w:rsidRDefault="00000000">
      <w:pPr>
        <w:pBdr>
          <w:bottom w:val="none" w:sz="0" w:space="18" w:color="000000"/>
        </w:pBdr>
        <w:shd w:val="clear" w:color="auto" w:fill="FFFFFF"/>
        <w:tabs>
          <w:tab w:val="left" w:pos="2500"/>
        </w:tabs>
        <w:spacing w:line="360" w:lineRule="auto"/>
        <w:jc w:val="both"/>
        <w:rPr>
          <w:color w:val="FF0000"/>
          <w:sz w:val="24"/>
          <w:szCs w:val="24"/>
        </w:rPr>
      </w:pPr>
      <w:r w:rsidRPr="00343328">
        <w:rPr>
          <w:b/>
          <w:bCs/>
          <w:sz w:val="24"/>
          <w:szCs w:val="24"/>
        </w:rPr>
        <w:t>2. MATERIAL E MÉTODOS</w:t>
      </w:r>
    </w:p>
    <w:p w14:paraId="6F2D17CD" w14:textId="77777777" w:rsidR="008D222F" w:rsidRPr="00343328" w:rsidRDefault="00000000">
      <w:pPr>
        <w:pBdr>
          <w:bottom w:val="none" w:sz="0" w:space="18" w:color="000000"/>
        </w:pBdr>
        <w:shd w:val="clear" w:color="auto" w:fill="FFFFFF"/>
        <w:tabs>
          <w:tab w:val="left" w:pos="709"/>
        </w:tabs>
        <w:spacing w:line="360" w:lineRule="auto"/>
        <w:ind w:firstLine="709"/>
        <w:jc w:val="both"/>
        <w:rPr>
          <w:color w:val="FF0000"/>
          <w:sz w:val="24"/>
          <w:szCs w:val="24"/>
        </w:rPr>
      </w:pPr>
      <w:r w:rsidRPr="00343328">
        <w:rPr>
          <w:sz w:val="24"/>
          <w:szCs w:val="24"/>
        </w:rPr>
        <w:t>A presente pesquisa constitui  um  estudo epidemiológico de série histórica (2020-2024), de caráter descritivo e abordagem quantitativa, desenvolvido a partir de dados extraídos do Sistema de Informação de Agravos de Notificação (SINAN), disponibilizados pelo Departamento de Informática do Sistema Único de Saúde do Brasil (DATASUS). O estudo considerou como campo de investigação a cidade de Cametá, no interior do estado do Pará, que possui população estimada de 134.184 habitantes, área territorial de 3.081,37</w:t>
      </w:r>
      <w:r w:rsidRPr="00343328">
        <w:rPr>
          <w:b/>
          <w:bCs/>
          <w:sz w:val="24"/>
          <w:szCs w:val="24"/>
        </w:rPr>
        <w:t> </w:t>
      </w:r>
      <w:r w:rsidRPr="00343328">
        <w:rPr>
          <w:sz w:val="24"/>
          <w:szCs w:val="24"/>
        </w:rPr>
        <w:t>km</w:t>
      </w:r>
      <w:r w:rsidRPr="00343328">
        <w:rPr>
          <w:sz w:val="24"/>
          <w:szCs w:val="24"/>
          <w:vertAlign w:val="superscript"/>
        </w:rPr>
        <w:t>2</w:t>
      </w:r>
      <w:r w:rsidRPr="00343328">
        <w:rPr>
          <w:sz w:val="24"/>
          <w:szCs w:val="24"/>
        </w:rPr>
        <w:t xml:space="preserve"> e densidade demográfica de 43.55</w:t>
      </w:r>
      <w:r w:rsidRPr="00343328">
        <w:rPr>
          <w:b/>
          <w:bCs/>
          <w:sz w:val="24"/>
          <w:szCs w:val="24"/>
        </w:rPr>
        <w:t> </w:t>
      </w:r>
      <w:r w:rsidRPr="00343328">
        <w:rPr>
          <w:sz w:val="24"/>
          <w:szCs w:val="24"/>
        </w:rPr>
        <w:t>hab/km</w:t>
      </w:r>
      <w:r w:rsidRPr="00343328">
        <w:rPr>
          <w:sz w:val="24"/>
          <w:szCs w:val="24"/>
          <w:vertAlign w:val="superscript"/>
        </w:rPr>
        <w:t>2</w:t>
      </w:r>
      <w:r w:rsidRPr="00343328">
        <w:rPr>
          <w:sz w:val="24"/>
          <w:szCs w:val="24"/>
        </w:rPr>
        <w:t xml:space="preserve">. </w:t>
      </w:r>
    </w:p>
    <w:p w14:paraId="2FF71806" w14:textId="77777777" w:rsidR="008D222F" w:rsidRPr="00343328" w:rsidRDefault="00000000">
      <w:pPr>
        <w:pBdr>
          <w:bottom w:val="none" w:sz="0" w:space="18" w:color="000000"/>
        </w:pBdr>
        <w:shd w:val="clear" w:color="auto" w:fill="FFFFFF"/>
        <w:tabs>
          <w:tab w:val="left" w:pos="709"/>
        </w:tabs>
        <w:spacing w:line="360" w:lineRule="auto"/>
        <w:ind w:firstLine="709"/>
        <w:jc w:val="both"/>
        <w:rPr>
          <w:color w:val="FF0000"/>
          <w:sz w:val="24"/>
          <w:szCs w:val="24"/>
        </w:rPr>
      </w:pPr>
      <w:r w:rsidRPr="00343328">
        <w:rPr>
          <w:sz w:val="24"/>
          <w:szCs w:val="24"/>
        </w:rPr>
        <w:t xml:space="preserve">Foram analisados os seguintes parâmetros epidemiológicos: número de casos segundo o município de infecção, ano de notificação, zona de residência, sexo, faixa etária, raça, escolaridade, exames de diagnósticos, coinfecção por HIV, sinais e sintomas, meses de notificação, evolução clínica e tipo de tratamento. As informações populacionais utilizadas como denominador foram obtidas </w:t>
      </w:r>
      <w:r w:rsidR="00CA27EA">
        <w:rPr>
          <w:sz w:val="24"/>
          <w:szCs w:val="24"/>
        </w:rPr>
        <w:t>pelo</w:t>
      </w:r>
      <w:r w:rsidRPr="00343328">
        <w:rPr>
          <w:sz w:val="24"/>
          <w:szCs w:val="24"/>
        </w:rPr>
        <w:t xml:space="preserve"> Instituto Brasileiro de Geografia e Estatística (IBGE).</w:t>
      </w:r>
    </w:p>
    <w:p w14:paraId="35615E18" w14:textId="77777777" w:rsidR="008D222F" w:rsidRPr="00343328" w:rsidRDefault="00000000">
      <w:pPr>
        <w:pBdr>
          <w:bottom w:val="none" w:sz="0" w:space="18" w:color="000000"/>
        </w:pBdr>
        <w:shd w:val="clear" w:color="auto" w:fill="FFFFFF"/>
        <w:tabs>
          <w:tab w:val="left" w:pos="709"/>
        </w:tabs>
        <w:spacing w:line="360" w:lineRule="auto"/>
        <w:ind w:firstLine="709"/>
        <w:jc w:val="both"/>
        <w:rPr>
          <w:color w:val="FF0000"/>
          <w:sz w:val="24"/>
          <w:szCs w:val="24"/>
        </w:rPr>
      </w:pPr>
      <w:r w:rsidRPr="00343328">
        <w:rPr>
          <w:sz w:val="24"/>
          <w:szCs w:val="24"/>
        </w:rPr>
        <w:t xml:space="preserve">Os dados coletados foram exportados para o programa </w:t>
      </w:r>
      <w:r w:rsidRPr="00343328">
        <w:rPr>
          <w:i/>
          <w:iCs/>
          <w:sz w:val="24"/>
          <w:szCs w:val="24"/>
        </w:rPr>
        <w:t xml:space="preserve">Microsoft Excel Office 2019 </w:t>
      </w:r>
      <w:r w:rsidRPr="00343328">
        <w:rPr>
          <w:sz w:val="24"/>
          <w:szCs w:val="24"/>
        </w:rPr>
        <w:t>(Microsoft office, EUA), utilizado para organização das informações e elaboração de gráficos e tabelas. Nesse ambiente, foram realizados cálculos estatísticos, incluindo</w:t>
      </w:r>
      <w:r w:rsidR="00D44D88" w:rsidRPr="00343328">
        <w:rPr>
          <w:sz w:val="24"/>
          <w:szCs w:val="24"/>
        </w:rPr>
        <w:t xml:space="preserve"> </w:t>
      </w:r>
      <w:r w:rsidRPr="00343328">
        <w:rPr>
          <w:sz w:val="24"/>
          <w:szCs w:val="24"/>
        </w:rPr>
        <w:t>coeficiente de incidência, taxa de mortalidade e proporções relativas aos valores absolutos</w:t>
      </w:r>
      <w:r w:rsidR="001C07D1" w:rsidRPr="00343328">
        <w:rPr>
          <w:sz w:val="24"/>
          <w:szCs w:val="24"/>
        </w:rPr>
        <w:t xml:space="preserve"> (Soares, 2021)</w:t>
      </w:r>
      <w:r w:rsidRPr="00343328">
        <w:rPr>
          <w:sz w:val="24"/>
          <w:szCs w:val="24"/>
        </w:rPr>
        <w:t xml:space="preserve">. </w:t>
      </w:r>
    </w:p>
    <w:p w14:paraId="7363963B" w14:textId="77777777" w:rsidR="008D222F" w:rsidRPr="00343328" w:rsidRDefault="00000000">
      <w:pPr>
        <w:pBdr>
          <w:bottom w:val="none" w:sz="0" w:space="18" w:color="000000"/>
        </w:pBdr>
        <w:shd w:val="clear" w:color="auto" w:fill="FFFFFF"/>
        <w:tabs>
          <w:tab w:val="left" w:pos="709"/>
        </w:tabs>
        <w:spacing w:line="360" w:lineRule="auto"/>
        <w:ind w:firstLine="709"/>
        <w:jc w:val="both"/>
        <w:rPr>
          <w:sz w:val="24"/>
          <w:szCs w:val="24"/>
        </w:rPr>
      </w:pPr>
      <w:r w:rsidRPr="00343328">
        <w:rPr>
          <w:sz w:val="24"/>
          <w:szCs w:val="24"/>
        </w:rPr>
        <w:t xml:space="preserve">Por fim, destaca-se que o estudo dispensa submissão ao Comitê de Ética em Pesquisa (CEP), uma vez que utiliza exclusivamente dados secundários de acesso público e sem identificação nominal dos indivíduos, atendendo aos preceitos éticos estabelecidos pela </w:t>
      </w:r>
      <w:r w:rsidRPr="00343328">
        <w:rPr>
          <w:sz w:val="24"/>
          <w:szCs w:val="24"/>
        </w:rPr>
        <w:lastRenderedPageBreak/>
        <w:t>Resolução 466/2012 do Conselho Nacional de Saúde.</w:t>
      </w:r>
    </w:p>
    <w:p w14:paraId="4E875BA1" w14:textId="77777777" w:rsidR="00530574" w:rsidRDefault="00000000" w:rsidP="00530574">
      <w:pPr>
        <w:pBdr>
          <w:bottom w:val="none" w:sz="0" w:space="18" w:color="000000"/>
        </w:pBdr>
        <w:shd w:val="clear" w:color="auto" w:fill="FFFFFF"/>
        <w:tabs>
          <w:tab w:val="left" w:pos="709"/>
        </w:tabs>
        <w:spacing w:line="360" w:lineRule="auto"/>
        <w:ind w:firstLine="709"/>
        <w:jc w:val="both"/>
        <w:rPr>
          <w:b/>
          <w:bCs/>
          <w:sz w:val="28"/>
          <w:szCs w:val="28"/>
        </w:rPr>
      </w:pPr>
      <w:r w:rsidRPr="00343328">
        <w:rPr>
          <w:b/>
          <w:bCs/>
          <w:sz w:val="24"/>
          <w:szCs w:val="24"/>
        </w:rPr>
        <w:t>3. RESULTADOS E DISCUSSÃO</w:t>
      </w:r>
      <w:r w:rsidRPr="00343328">
        <w:rPr>
          <w:b/>
          <w:bCs/>
          <w:sz w:val="28"/>
          <w:szCs w:val="28"/>
        </w:rPr>
        <w:t xml:space="preserve"> </w:t>
      </w:r>
    </w:p>
    <w:p w14:paraId="39D3159E" w14:textId="77777777" w:rsidR="00CF6E2E" w:rsidRDefault="00000000" w:rsidP="00CF6E2E">
      <w:pPr>
        <w:pBdr>
          <w:bottom w:val="none" w:sz="0" w:space="18" w:color="000000"/>
        </w:pBdr>
        <w:shd w:val="clear" w:color="auto" w:fill="FFFFFF"/>
        <w:tabs>
          <w:tab w:val="left" w:pos="709"/>
        </w:tabs>
        <w:spacing w:line="360" w:lineRule="auto"/>
        <w:ind w:firstLine="709"/>
        <w:jc w:val="both"/>
        <w:rPr>
          <w:sz w:val="24"/>
          <w:szCs w:val="24"/>
        </w:rPr>
      </w:pPr>
      <w:r w:rsidRPr="00343328">
        <w:rPr>
          <w:sz w:val="24"/>
          <w:szCs w:val="24"/>
        </w:rPr>
        <w:t xml:space="preserve">No município de Cametá, foram notificados 23 casos de LV no período analisado, dos quais  apenas um foi descartado, totalizando 22 casos confirmados. O município apresentou uma média anual de 4,4 e coeficiente de incidência de 16,3 casos por 100 mil habitantes. O maior número de registros ocorreu no ano de 2020 com sete casos confirmados. A Figura 1 ilustra as variações dos coeficientes de incidência ao longo da série histórica, evidenciando que após o pico observado em 2020, houve redução significativa em 2021, seguida de novo aumento em 2022-2023 culminando em leve declínio em 2024. </w:t>
      </w:r>
    </w:p>
    <w:p w14:paraId="71F117FA" w14:textId="77777777" w:rsidR="00CF6E2E" w:rsidRDefault="00000000" w:rsidP="00CF6E2E">
      <w:pPr>
        <w:pBdr>
          <w:bottom w:val="none" w:sz="0" w:space="18" w:color="000000"/>
        </w:pBdr>
        <w:shd w:val="clear" w:color="auto" w:fill="FFFFFF"/>
        <w:tabs>
          <w:tab w:val="left" w:pos="709"/>
        </w:tabs>
        <w:ind w:firstLine="709"/>
        <w:jc w:val="center"/>
        <w:rPr>
          <w:sz w:val="24"/>
          <w:szCs w:val="24"/>
        </w:rPr>
      </w:pPr>
      <w:r w:rsidRPr="00343328">
        <w:t>Figura 1</w:t>
      </w:r>
      <w:r w:rsidRPr="00343328">
        <w:rPr>
          <w:b/>
          <w:bCs/>
        </w:rPr>
        <w:t xml:space="preserve"> –</w:t>
      </w:r>
      <w:r w:rsidRPr="00343328">
        <w:t xml:space="preserve"> Variação nos coeficientes de incidência de LV no município de Cametá nos anos de 2020 a 2024.</w:t>
      </w:r>
      <w:r w:rsidRPr="00343328">
        <w:rPr>
          <w:noProof/>
          <w:sz w:val="24"/>
          <w:szCs w:val="24"/>
        </w:rPr>
        <w:drawing>
          <wp:inline distT="0" distB="0" distL="0" distR="0" wp14:anchorId="714AEC69" wp14:editId="625C7340">
            <wp:extent cx="5760000" cy="1440000"/>
            <wp:effectExtent l="0" t="0" r="12700" b="825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931B9E5" w14:textId="77777777" w:rsidR="008D222F" w:rsidRPr="00CF6E2E" w:rsidRDefault="00000000" w:rsidP="00CF6E2E">
      <w:pPr>
        <w:pBdr>
          <w:bottom w:val="none" w:sz="0" w:space="18" w:color="000000"/>
        </w:pBdr>
        <w:shd w:val="clear" w:color="auto" w:fill="FFFFFF"/>
        <w:tabs>
          <w:tab w:val="left" w:pos="709"/>
        </w:tabs>
        <w:jc w:val="both"/>
        <w:rPr>
          <w:sz w:val="24"/>
          <w:szCs w:val="24"/>
        </w:rPr>
      </w:pPr>
      <w:r w:rsidRPr="00343328">
        <w:t>Fonte: Autores (2025)</w:t>
      </w:r>
    </w:p>
    <w:p w14:paraId="13B56B93" w14:textId="77777777" w:rsidR="00635ABB" w:rsidRDefault="00000000">
      <w:pPr>
        <w:pBdr>
          <w:bottom w:val="none" w:sz="0" w:space="8" w:color="000000"/>
        </w:pBdr>
        <w:shd w:val="clear" w:color="auto" w:fill="FFFFFF"/>
        <w:tabs>
          <w:tab w:val="left" w:pos="2500"/>
        </w:tabs>
        <w:spacing w:line="360" w:lineRule="auto"/>
        <w:ind w:firstLine="700"/>
        <w:jc w:val="both"/>
        <w:rPr>
          <w:sz w:val="24"/>
          <w:szCs w:val="24"/>
        </w:rPr>
      </w:pPr>
      <w:r w:rsidRPr="00343328">
        <w:rPr>
          <w:sz w:val="24"/>
          <w:szCs w:val="24"/>
        </w:rPr>
        <w:t xml:space="preserve">A tendência de redução de casos nos últimos anos pode estar relacionada a esforços de controle e ações de vigilância epidemiológica, como ações de vigilância e uso de inseticidas, mas também pode refletir subnotificação, como discutido por </w:t>
      </w:r>
      <w:r w:rsidR="00AC37F2" w:rsidRPr="00343328">
        <w:rPr>
          <w:sz w:val="24"/>
          <w:szCs w:val="24"/>
        </w:rPr>
        <w:t>Bertollo e Soares (2023)</w:t>
      </w:r>
      <w:r w:rsidRPr="00343328">
        <w:rPr>
          <w:sz w:val="24"/>
          <w:szCs w:val="24"/>
        </w:rPr>
        <w:t xml:space="preserve">, especialmente durante o período da pandemia da COVID-19 quando a atenção em saúde se concentrou no combate ao vírus. </w:t>
      </w:r>
    </w:p>
    <w:p w14:paraId="31EC90AA" w14:textId="77777777" w:rsidR="008D222F" w:rsidRPr="00343328" w:rsidRDefault="00000000">
      <w:pPr>
        <w:pBdr>
          <w:bottom w:val="none" w:sz="0" w:space="8" w:color="000000"/>
        </w:pBdr>
        <w:shd w:val="clear" w:color="auto" w:fill="FFFFFF"/>
        <w:tabs>
          <w:tab w:val="left" w:pos="2500"/>
        </w:tabs>
        <w:spacing w:line="360" w:lineRule="auto"/>
        <w:ind w:firstLine="700"/>
        <w:jc w:val="both"/>
        <w:rPr>
          <w:sz w:val="24"/>
          <w:szCs w:val="24"/>
        </w:rPr>
      </w:pPr>
      <w:r w:rsidRPr="00343328">
        <w:rPr>
          <w:sz w:val="24"/>
          <w:szCs w:val="24"/>
        </w:rPr>
        <w:t>Sobre o perfil sociodemográfico observado, na tabela 1 estão descritas as principais características dos indivíduos acometidos pela LV para o período proposto.</w:t>
      </w:r>
    </w:p>
    <w:p w14:paraId="5B768E51" w14:textId="77777777" w:rsidR="008D222F" w:rsidRPr="00343328" w:rsidRDefault="00000000" w:rsidP="00794E9C">
      <w:pPr>
        <w:pBdr>
          <w:bottom w:val="none" w:sz="0" w:space="8" w:color="000000"/>
        </w:pBdr>
        <w:shd w:val="clear" w:color="auto" w:fill="FFFFFF"/>
        <w:tabs>
          <w:tab w:val="left" w:pos="2500"/>
        </w:tabs>
        <w:jc w:val="center"/>
      </w:pPr>
      <w:r w:rsidRPr="00343328">
        <w:t>Tabela 1- Caracterização sociodemográfica dos casos no município de Cametá nos anos de 2022 a 2024.</w:t>
      </w:r>
    </w:p>
    <w:tbl>
      <w:tblPr>
        <w:tblStyle w:val="a1"/>
        <w:tblpPr w:leftFromText="141" w:rightFromText="141" w:vertAnchor="text" w:tblpY="3"/>
        <w:tblW w:w="0" w:type="auto"/>
        <w:tblInd w:w="0" w:type="dxa"/>
        <w:tblBorders>
          <w:top w:val="nil"/>
          <w:bottom w:val="nil"/>
        </w:tblBorders>
        <w:tblLayout w:type="fixed"/>
        <w:tblLook w:val="04A0" w:firstRow="1" w:lastRow="0" w:firstColumn="1" w:lastColumn="0" w:noHBand="0" w:noVBand="1"/>
      </w:tblPr>
      <w:tblGrid>
        <w:gridCol w:w="3025"/>
        <w:gridCol w:w="3025"/>
        <w:gridCol w:w="3025"/>
      </w:tblGrid>
      <w:tr w:rsidR="008D222F" w:rsidRPr="00343328" w14:paraId="72CC7C0D" w14:textId="77777777" w:rsidTr="008D2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5" w:type="dxa"/>
            <w:gridSpan w:val="3"/>
          </w:tcPr>
          <w:p w14:paraId="6E3E9AFB" w14:textId="77777777" w:rsidR="008D222F" w:rsidRPr="00343328" w:rsidRDefault="00000000">
            <w:pPr>
              <w:widowControl/>
              <w:pBdr>
                <w:top w:val="nil"/>
                <w:left w:val="nil"/>
                <w:bottom w:val="nil"/>
                <w:right w:val="nil"/>
                <w:between w:val="nil"/>
              </w:pBdr>
              <w:spacing w:line="360" w:lineRule="auto"/>
              <w:jc w:val="center"/>
              <w:rPr>
                <w:color w:val="000000"/>
                <w:sz w:val="20"/>
                <w:szCs w:val="20"/>
              </w:rPr>
            </w:pPr>
            <w:r w:rsidRPr="00343328">
              <w:rPr>
                <w:b w:val="0"/>
                <w:bCs w:val="0"/>
                <w:color w:val="000000"/>
                <w:sz w:val="20"/>
                <w:szCs w:val="20"/>
              </w:rPr>
              <w:t>DADOS SOCIODEMOGRÁFICOS</w:t>
            </w:r>
          </w:p>
        </w:tc>
      </w:tr>
      <w:tr w:rsidR="008D222F" w:rsidRPr="00343328" w14:paraId="505FE06A" w14:textId="77777777" w:rsidTr="008D222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025" w:type="dxa"/>
          </w:tcPr>
          <w:p w14:paraId="29BFFC14" w14:textId="77777777" w:rsidR="008D222F" w:rsidRPr="001515D1" w:rsidRDefault="00000000" w:rsidP="001515D1">
            <w:pPr>
              <w:widowControl/>
              <w:pBdr>
                <w:top w:val="nil"/>
                <w:left w:val="nil"/>
                <w:bottom w:val="nil"/>
                <w:right w:val="nil"/>
                <w:between w:val="nil"/>
              </w:pBdr>
              <w:jc w:val="center"/>
              <w:rPr>
                <w:color w:val="000000"/>
                <w:sz w:val="24"/>
                <w:szCs w:val="24"/>
              </w:rPr>
            </w:pPr>
            <w:r w:rsidRPr="001515D1">
              <w:rPr>
                <w:b w:val="0"/>
                <w:bCs w:val="0"/>
                <w:color w:val="000000"/>
                <w:sz w:val="24"/>
                <w:szCs w:val="24"/>
              </w:rPr>
              <w:t>Variáveis</w:t>
            </w:r>
          </w:p>
        </w:tc>
        <w:tc>
          <w:tcPr>
            <w:tcW w:w="3025" w:type="dxa"/>
          </w:tcPr>
          <w:p w14:paraId="453660C2"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b/>
                <w:bCs/>
                <w:color w:val="000000"/>
                <w:sz w:val="24"/>
                <w:szCs w:val="24"/>
              </w:rPr>
              <w:t>N (22)</w:t>
            </w:r>
          </w:p>
        </w:tc>
        <w:tc>
          <w:tcPr>
            <w:tcW w:w="3025" w:type="dxa"/>
          </w:tcPr>
          <w:p w14:paraId="522AD5FB"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b/>
                <w:bCs/>
                <w:color w:val="000000"/>
                <w:sz w:val="24"/>
                <w:szCs w:val="24"/>
              </w:rPr>
              <w:t>%</w:t>
            </w:r>
          </w:p>
        </w:tc>
      </w:tr>
      <w:tr w:rsidR="008D222F" w:rsidRPr="00343328" w14:paraId="3CD9EB57" w14:textId="77777777" w:rsidTr="008D222F">
        <w:trPr>
          <w:trHeight w:val="320"/>
        </w:trPr>
        <w:tc>
          <w:tcPr>
            <w:cnfStyle w:val="001000000000" w:firstRow="0" w:lastRow="0" w:firstColumn="1" w:lastColumn="0" w:oddVBand="0" w:evenVBand="0" w:oddHBand="0" w:evenHBand="0" w:firstRowFirstColumn="0" w:firstRowLastColumn="0" w:lastRowFirstColumn="0" w:lastRowLastColumn="0"/>
            <w:tcW w:w="9075" w:type="dxa"/>
            <w:gridSpan w:val="3"/>
          </w:tcPr>
          <w:p w14:paraId="0931215F" w14:textId="77777777" w:rsidR="008D222F" w:rsidRPr="001515D1" w:rsidRDefault="00000000" w:rsidP="001515D1">
            <w:pPr>
              <w:widowControl/>
              <w:pBdr>
                <w:top w:val="nil"/>
                <w:left w:val="nil"/>
                <w:bottom w:val="nil"/>
                <w:right w:val="nil"/>
                <w:between w:val="nil"/>
              </w:pBdr>
              <w:rPr>
                <w:color w:val="000000"/>
                <w:sz w:val="24"/>
                <w:szCs w:val="24"/>
              </w:rPr>
            </w:pPr>
            <w:r w:rsidRPr="001515D1">
              <w:rPr>
                <w:color w:val="000000"/>
                <w:sz w:val="24"/>
                <w:szCs w:val="24"/>
              </w:rPr>
              <w:t>Sexo</w:t>
            </w:r>
          </w:p>
        </w:tc>
      </w:tr>
      <w:tr w:rsidR="008D222F" w:rsidRPr="00343328" w14:paraId="40E61222"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0F263A6E"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 xml:space="preserve">Feminino </w:t>
            </w:r>
          </w:p>
        </w:tc>
        <w:tc>
          <w:tcPr>
            <w:tcW w:w="3025" w:type="dxa"/>
          </w:tcPr>
          <w:p w14:paraId="489C4EEC"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10</w:t>
            </w:r>
          </w:p>
        </w:tc>
        <w:tc>
          <w:tcPr>
            <w:tcW w:w="3025" w:type="dxa"/>
          </w:tcPr>
          <w:p w14:paraId="2F8CA015"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 xml:space="preserve">45,5% </w:t>
            </w:r>
          </w:p>
        </w:tc>
      </w:tr>
      <w:tr w:rsidR="008D222F" w:rsidRPr="00343328" w14:paraId="020787FD"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55526749"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 xml:space="preserve">Masculino </w:t>
            </w:r>
          </w:p>
        </w:tc>
        <w:tc>
          <w:tcPr>
            <w:tcW w:w="3025" w:type="dxa"/>
          </w:tcPr>
          <w:p w14:paraId="5551398E"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1515D1">
              <w:rPr>
                <w:b/>
                <w:bCs/>
                <w:color w:val="000000"/>
                <w:sz w:val="24"/>
                <w:szCs w:val="24"/>
              </w:rPr>
              <w:t>12</w:t>
            </w:r>
          </w:p>
        </w:tc>
        <w:tc>
          <w:tcPr>
            <w:tcW w:w="3025" w:type="dxa"/>
          </w:tcPr>
          <w:p w14:paraId="2819D4DA"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1515D1">
              <w:rPr>
                <w:b/>
                <w:bCs/>
                <w:color w:val="000000"/>
                <w:sz w:val="24"/>
                <w:szCs w:val="24"/>
              </w:rPr>
              <w:t xml:space="preserve">54,5% </w:t>
            </w:r>
          </w:p>
        </w:tc>
      </w:tr>
      <w:tr w:rsidR="008D222F" w:rsidRPr="00343328" w14:paraId="60C7FF79"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5" w:type="dxa"/>
            <w:gridSpan w:val="3"/>
          </w:tcPr>
          <w:p w14:paraId="75F8B1C0" w14:textId="77777777" w:rsidR="008D222F" w:rsidRPr="001515D1" w:rsidRDefault="00000000" w:rsidP="001515D1">
            <w:pPr>
              <w:widowControl/>
              <w:pBdr>
                <w:top w:val="nil"/>
                <w:left w:val="nil"/>
                <w:bottom w:val="nil"/>
                <w:right w:val="nil"/>
                <w:between w:val="nil"/>
              </w:pBdr>
              <w:jc w:val="both"/>
              <w:rPr>
                <w:color w:val="000000"/>
                <w:sz w:val="24"/>
                <w:szCs w:val="24"/>
              </w:rPr>
            </w:pPr>
            <w:r w:rsidRPr="001515D1">
              <w:rPr>
                <w:color w:val="000000"/>
                <w:sz w:val="24"/>
                <w:szCs w:val="24"/>
              </w:rPr>
              <w:lastRenderedPageBreak/>
              <w:t>Faixa Etária</w:t>
            </w:r>
          </w:p>
        </w:tc>
      </w:tr>
      <w:tr w:rsidR="008D222F" w:rsidRPr="00343328" w14:paraId="14F5664A"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73A0A4F0"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Criança (=&lt;12)</w:t>
            </w:r>
          </w:p>
        </w:tc>
        <w:tc>
          <w:tcPr>
            <w:tcW w:w="3025" w:type="dxa"/>
          </w:tcPr>
          <w:p w14:paraId="74E47F2C"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1515D1">
              <w:rPr>
                <w:b/>
                <w:bCs/>
                <w:color w:val="000000"/>
                <w:sz w:val="24"/>
                <w:szCs w:val="24"/>
              </w:rPr>
              <w:t>16</w:t>
            </w:r>
          </w:p>
        </w:tc>
        <w:tc>
          <w:tcPr>
            <w:tcW w:w="3025" w:type="dxa"/>
          </w:tcPr>
          <w:p w14:paraId="7CEFC214"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sidRPr="001515D1">
              <w:rPr>
                <w:b/>
                <w:bCs/>
                <w:color w:val="000000"/>
                <w:sz w:val="24"/>
                <w:szCs w:val="24"/>
              </w:rPr>
              <w:t>72,8%</w:t>
            </w:r>
          </w:p>
        </w:tc>
      </w:tr>
      <w:tr w:rsidR="008D222F" w:rsidRPr="00343328" w14:paraId="0E10B369"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2561E373"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Adolescente (&gt;12=17)</w:t>
            </w:r>
          </w:p>
        </w:tc>
        <w:tc>
          <w:tcPr>
            <w:tcW w:w="3025" w:type="dxa"/>
          </w:tcPr>
          <w:p w14:paraId="375F7FF4"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1</w:t>
            </w:r>
          </w:p>
        </w:tc>
        <w:tc>
          <w:tcPr>
            <w:tcW w:w="3025" w:type="dxa"/>
          </w:tcPr>
          <w:p w14:paraId="65BC90ED"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4,5%</w:t>
            </w:r>
          </w:p>
        </w:tc>
      </w:tr>
      <w:tr w:rsidR="008D222F" w:rsidRPr="00343328" w14:paraId="6BCB4992"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31BF786B"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Adultos (&gt;17=59)</w:t>
            </w:r>
          </w:p>
        </w:tc>
        <w:tc>
          <w:tcPr>
            <w:tcW w:w="3025" w:type="dxa"/>
          </w:tcPr>
          <w:p w14:paraId="197B8055"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5</w:t>
            </w:r>
          </w:p>
        </w:tc>
        <w:tc>
          <w:tcPr>
            <w:tcW w:w="3025" w:type="dxa"/>
          </w:tcPr>
          <w:p w14:paraId="31F70017"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22,7%</w:t>
            </w:r>
          </w:p>
        </w:tc>
      </w:tr>
      <w:tr w:rsidR="008D222F" w:rsidRPr="00343328" w14:paraId="4281795D"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70D2505C"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Idoso (&gt;59)</w:t>
            </w:r>
          </w:p>
        </w:tc>
        <w:tc>
          <w:tcPr>
            <w:tcW w:w="3025" w:type="dxa"/>
          </w:tcPr>
          <w:p w14:paraId="4F61D008"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0</w:t>
            </w:r>
          </w:p>
        </w:tc>
        <w:tc>
          <w:tcPr>
            <w:tcW w:w="3025" w:type="dxa"/>
          </w:tcPr>
          <w:p w14:paraId="7676B16C"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w:t>
            </w:r>
          </w:p>
        </w:tc>
      </w:tr>
      <w:tr w:rsidR="008D222F" w:rsidRPr="00343328" w14:paraId="04ACBB0A" w14:textId="77777777" w:rsidTr="008D222F">
        <w:tc>
          <w:tcPr>
            <w:cnfStyle w:val="001000000000" w:firstRow="0" w:lastRow="0" w:firstColumn="1" w:lastColumn="0" w:oddVBand="0" w:evenVBand="0" w:oddHBand="0" w:evenHBand="0" w:firstRowFirstColumn="0" w:firstRowLastColumn="0" w:lastRowFirstColumn="0" w:lastRowLastColumn="0"/>
            <w:tcW w:w="9075" w:type="dxa"/>
            <w:gridSpan w:val="3"/>
          </w:tcPr>
          <w:p w14:paraId="7C19CBCF" w14:textId="77777777" w:rsidR="008D222F" w:rsidRPr="001515D1" w:rsidRDefault="00000000" w:rsidP="001515D1">
            <w:pPr>
              <w:widowControl/>
              <w:pBdr>
                <w:top w:val="nil"/>
                <w:left w:val="nil"/>
                <w:bottom w:val="nil"/>
                <w:right w:val="nil"/>
                <w:between w:val="nil"/>
              </w:pBdr>
              <w:jc w:val="both"/>
              <w:rPr>
                <w:color w:val="000000"/>
                <w:sz w:val="24"/>
                <w:szCs w:val="24"/>
              </w:rPr>
            </w:pPr>
            <w:r w:rsidRPr="001515D1">
              <w:rPr>
                <w:color w:val="000000"/>
                <w:sz w:val="24"/>
                <w:szCs w:val="24"/>
              </w:rPr>
              <w:t>Escolaridade</w:t>
            </w:r>
          </w:p>
        </w:tc>
      </w:tr>
      <w:tr w:rsidR="008D222F" w:rsidRPr="00343328" w14:paraId="26DB4ED0"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71902567"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1ª a 4ª série Ens Fund incompleto</w:t>
            </w:r>
          </w:p>
        </w:tc>
        <w:tc>
          <w:tcPr>
            <w:tcW w:w="3025" w:type="dxa"/>
          </w:tcPr>
          <w:p w14:paraId="41F7D827"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2</w:t>
            </w:r>
          </w:p>
        </w:tc>
        <w:tc>
          <w:tcPr>
            <w:tcW w:w="3025" w:type="dxa"/>
          </w:tcPr>
          <w:p w14:paraId="5C2C3432"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9,1%</w:t>
            </w:r>
          </w:p>
        </w:tc>
      </w:tr>
      <w:tr w:rsidR="008D222F" w:rsidRPr="00343328" w14:paraId="26C7DC22"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466B4393"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4ª série EF completa</w:t>
            </w:r>
          </w:p>
        </w:tc>
        <w:tc>
          <w:tcPr>
            <w:tcW w:w="3025" w:type="dxa"/>
          </w:tcPr>
          <w:p w14:paraId="1C0C3938"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1</w:t>
            </w:r>
          </w:p>
        </w:tc>
        <w:tc>
          <w:tcPr>
            <w:tcW w:w="3025" w:type="dxa"/>
          </w:tcPr>
          <w:p w14:paraId="1BFBD284"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4,6%</w:t>
            </w:r>
          </w:p>
        </w:tc>
      </w:tr>
      <w:tr w:rsidR="008D222F" w:rsidRPr="00343328" w14:paraId="36FAA84F"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5C54D772"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Ensino Fundamental completo</w:t>
            </w:r>
          </w:p>
        </w:tc>
        <w:tc>
          <w:tcPr>
            <w:tcW w:w="3025" w:type="dxa"/>
          </w:tcPr>
          <w:p w14:paraId="3DDA1B1D"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1</w:t>
            </w:r>
          </w:p>
        </w:tc>
        <w:tc>
          <w:tcPr>
            <w:tcW w:w="3025" w:type="dxa"/>
          </w:tcPr>
          <w:p w14:paraId="734EF42F"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4,6%</w:t>
            </w:r>
          </w:p>
        </w:tc>
      </w:tr>
      <w:tr w:rsidR="008D222F" w:rsidRPr="00343328" w14:paraId="320D5BC1"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4917B4A4"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Ensino Médio completo</w:t>
            </w:r>
          </w:p>
        </w:tc>
        <w:tc>
          <w:tcPr>
            <w:tcW w:w="3025" w:type="dxa"/>
          </w:tcPr>
          <w:p w14:paraId="2D79DE88"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1</w:t>
            </w:r>
          </w:p>
        </w:tc>
        <w:tc>
          <w:tcPr>
            <w:tcW w:w="3025" w:type="dxa"/>
          </w:tcPr>
          <w:p w14:paraId="375AD0E9"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4,6%</w:t>
            </w:r>
          </w:p>
        </w:tc>
      </w:tr>
      <w:tr w:rsidR="008D222F" w:rsidRPr="00343328" w14:paraId="4AA5C6B9"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4585BE2D"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Ignorado/Branco</w:t>
            </w:r>
          </w:p>
        </w:tc>
        <w:tc>
          <w:tcPr>
            <w:tcW w:w="3025" w:type="dxa"/>
          </w:tcPr>
          <w:p w14:paraId="36DD8DA1"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1515D1">
              <w:rPr>
                <w:b/>
                <w:bCs/>
                <w:color w:val="000000"/>
                <w:sz w:val="24"/>
                <w:szCs w:val="24"/>
              </w:rPr>
              <w:t>4</w:t>
            </w:r>
          </w:p>
        </w:tc>
        <w:tc>
          <w:tcPr>
            <w:tcW w:w="3025" w:type="dxa"/>
          </w:tcPr>
          <w:p w14:paraId="6C8F25B0"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1515D1">
              <w:rPr>
                <w:b/>
                <w:bCs/>
                <w:color w:val="000000"/>
                <w:sz w:val="24"/>
                <w:szCs w:val="24"/>
              </w:rPr>
              <w:t>18,1%</w:t>
            </w:r>
          </w:p>
        </w:tc>
      </w:tr>
      <w:tr w:rsidR="008D222F" w:rsidRPr="00343328" w14:paraId="460498CC"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54C595BA"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Não se aplica</w:t>
            </w:r>
          </w:p>
        </w:tc>
        <w:tc>
          <w:tcPr>
            <w:tcW w:w="3025" w:type="dxa"/>
          </w:tcPr>
          <w:p w14:paraId="3B0DD757"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13</w:t>
            </w:r>
          </w:p>
        </w:tc>
        <w:tc>
          <w:tcPr>
            <w:tcW w:w="3025" w:type="dxa"/>
          </w:tcPr>
          <w:p w14:paraId="1D0AE51F"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59%</w:t>
            </w:r>
          </w:p>
        </w:tc>
      </w:tr>
      <w:tr w:rsidR="008D222F" w:rsidRPr="00343328" w14:paraId="33615F4B"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5" w:type="dxa"/>
            <w:gridSpan w:val="3"/>
          </w:tcPr>
          <w:p w14:paraId="3966AF57" w14:textId="77777777" w:rsidR="008D222F" w:rsidRPr="001515D1" w:rsidRDefault="00000000" w:rsidP="001515D1">
            <w:pPr>
              <w:widowControl/>
              <w:pBdr>
                <w:top w:val="nil"/>
                <w:left w:val="nil"/>
                <w:bottom w:val="nil"/>
                <w:right w:val="nil"/>
                <w:between w:val="nil"/>
              </w:pBdr>
              <w:jc w:val="both"/>
              <w:rPr>
                <w:color w:val="000000"/>
                <w:sz w:val="24"/>
                <w:szCs w:val="24"/>
              </w:rPr>
            </w:pPr>
            <w:r w:rsidRPr="001515D1">
              <w:rPr>
                <w:color w:val="000000"/>
                <w:sz w:val="24"/>
                <w:szCs w:val="24"/>
              </w:rPr>
              <w:t>Raça</w:t>
            </w:r>
          </w:p>
        </w:tc>
      </w:tr>
      <w:tr w:rsidR="008D222F" w:rsidRPr="00343328" w14:paraId="00A9EAC1"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39918D0C"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Preta</w:t>
            </w:r>
          </w:p>
        </w:tc>
        <w:tc>
          <w:tcPr>
            <w:tcW w:w="3025" w:type="dxa"/>
          </w:tcPr>
          <w:p w14:paraId="1FDCE62B"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3</w:t>
            </w:r>
          </w:p>
        </w:tc>
        <w:tc>
          <w:tcPr>
            <w:tcW w:w="3025" w:type="dxa"/>
          </w:tcPr>
          <w:p w14:paraId="7876CD2B"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13,6%</w:t>
            </w:r>
          </w:p>
        </w:tc>
      </w:tr>
      <w:tr w:rsidR="008D222F" w:rsidRPr="00343328" w14:paraId="1618EF26"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119F929B"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Branca</w:t>
            </w:r>
          </w:p>
        </w:tc>
        <w:tc>
          <w:tcPr>
            <w:tcW w:w="3025" w:type="dxa"/>
          </w:tcPr>
          <w:p w14:paraId="31C80965"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0</w:t>
            </w:r>
          </w:p>
        </w:tc>
        <w:tc>
          <w:tcPr>
            <w:tcW w:w="3025" w:type="dxa"/>
          </w:tcPr>
          <w:p w14:paraId="621D38CD"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1515D1">
              <w:rPr>
                <w:color w:val="000000"/>
                <w:sz w:val="24"/>
                <w:szCs w:val="24"/>
              </w:rPr>
              <w:t>-%</w:t>
            </w:r>
          </w:p>
        </w:tc>
      </w:tr>
      <w:tr w:rsidR="008D222F" w:rsidRPr="00343328" w14:paraId="0CD1E536"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559B385B"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Indígena</w:t>
            </w:r>
          </w:p>
        </w:tc>
        <w:tc>
          <w:tcPr>
            <w:tcW w:w="3025" w:type="dxa"/>
          </w:tcPr>
          <w:p w14:paraId="3ECDD3B3"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0</w:t>
            </w:r>
          </w:p>
        </w:tc>
        <w:tc>
          <w:tcPr>
            <w:tcW w:w="3025" w:type="dxa"/>
          </w:tcPr>
          <w:p w14:paraId="793F4F4B" w14:textId="77777777" w:rsidR="008D222F" w:rsidRPr="001515D1" w:rsidRDefault="00000000" w:rsidP="001515D1">
            <w:pPr>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515D1">
              <w:rPr>
                <w:color w:val="000000"/>
                <w:sz w:val="24"/>
                <w:szCs w:val="24"/>
              </w:rPr>
              <w:t>-%</w:t>
            </w:r>
          </w:p>
        </w:tc>
      </w:tr>
      <w:tr w:rsidR="008D222F" w:rsidRPr="00343328" w14:paraId="40660083" w14:textId="77777777" w:rsidTr="008D2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6B5310EC" w14:textId="77777777" w:rsidR="008D222F" w:rsidRPr="001515D1" w:rsidRDefault="00000000" w:rsidP="001515D1">
            <w:pPr>
              <w:widowControl/>
              <w:pBdr>
                <w:top w:val="nil"/>
                <w:left w:val="nil"/>
                <w:bottom w:val="nil"/>
                <w:right w:val="nil"/>
                <w:between w:val="nil"/>
              </w:pBdr>
              <w:rPr>
                <w:color w:val="000000"/>
                <w:sz w:val="24"/>
                <w:szCs w:val="24"/>
              </w:rPr>
            </w:pPr>
            <w:r w:rsidRPr="001515D1">
              <w:rPr>
                <w:b w:val="0"/>
                <w:bCs w:val="0"/>
                <w:color w:val="000000"/>
                <w:sz w:val="24"/>
                <w:szCs w:val="24"/>
              </w:rPr>
              <w:t>Parda</w:t>
            </w:r>
          </w:p>
        </w:tc>
        <w:tc>
          <w:tcPr>
            <w:tcW w:w="3025" w:type="dxa"/>
          </w:tcPr>
          <w:p w14:paraId="6CBD1270"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1515D1">
              <w:rPr>
                <w:b/>
                <w:bCs/>
                <w:color w:val="000000"/>
                <w:sz w:val="24"/>
                <w:szCs w:val="24"/>
              </w:rPr>
              <w:t>19</w:t>
            </w:r>
          </w:p>
        </w:tc>
        <w:tc>
          <w:tcPr>
            <w:tcW w:w="3025" w:type="dxa"/>
          </w:tcPr>
          <w:p w14:paraId="2C793153" w14:textId="77777777" w:rsidR="008D222F" w:rsidRPr="001515D1" w:rsidRDefault="00000000" w:rsidP="001515D1">
            <w:pPr>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1515D1">
              <w:rPr>
                <w:b/>
                <w:bCs/>
                <w:color w:val="000000"/>
                <w:sz w:val="24"/>
                <w:szCs w:val="24"/>
              </w:rPr>
              <w:t>86,4%</w:t>
            </w:r>
          </w:p>
        </w:tc>
      </w:tr>
      <w:tr w:rsidR="008D222F" w:rsidRPr="00343328" w14:paraId="3130E35E" w14:textId="77777777" w:rsidTr="008D222F">
        <w:tc>
          <w:tcPr>
            <w:cnfStyle w:val="001000000000" w:firstRow="0" w:lastRow="0" w:firstColumn="1" w:lastColumn="0" w:oddVBand="0" w:evenVBand="0" w:oddHBand="0" w:evenHBand="0" w:firstRowFirstColumn="0" w:firstRowLastColumn="0" w:lastRowFirstColumn="0" w:lastRowLastColumn="0"/>
            <w:tcW w:w="3025" w:type="dxa"/>
          </w:tcPr>
          <w:p w14:paraId="242E86BF" w14:textId="77777777" w:rsidR="008D222F" w:rsidRPr="00343328" w:rsidRDefault="00000000">
            <w:pPr>
              <w:widowControl/>
              <w:pBdr>
                <w:top w:val="nil"/>
                <w:left w:val="nil"/>
                <w:bottom w:val="nil"/>
                <w:right w:val="nil"/>
                <w:between w:val="nil"/>
              </w:pBdr>
              <w:spacing w:line="360" w:lineRule="auto"/>
              <w:rPr>
                <w:color w:val="000000"/>
                <w:sz w:val="20"/>
                <w:szCs w:val="20"/>
              </w:rPr>
            </w:pPr>
            <w:r w:rsidRPr="00343328">
              <w:rPr>
                <w:b w:val="0"/>
                <w:bCs w:val="0"/>
                <w:color w:val="000000"/>
                <w:sz w:val="20"/>
                <w:szCs w:val="20"/>
              </w:rPr>
              <w:t>Ign</w:t>
            </w:r>
            <w:r w:rsidRPr="00343328">
              <w:rPr>
                <w:b w:val="0"/>
                <w:bCs w:val="0"/>
                <w:sz w:val="20"/>
                <w:szCs w:val="20"/>
              </w:rPr>
              <w:t>orado</w:t>
            </w:r>
            <w:r w:rsidRPr="00343328">
              <w:rPr>
                <w:b w:val="0"/>
                <w:bCs w:val="0"/>
                <w:color w:val="000000"/>
                <w:sz w:val="20"/>
                <w:szCs w:val="20"/>
              </w:rPr>
              <w:t>/Branco</w:t>
            </w:r>
          </w:p>
        </w:tc>
        <w:tc>
          <w:tcPr>
            <w:tcW w:w="3025" w:type="dxa"/>
          </w:tcPr>
          <w:p w14:paraId="27F4091B" w14:textId="77777777" w:rsidR="008D222F" w:rsidRPr="00343328" w:rsidRDefault="00000000">
            <w:pPr>
              <w:widowControl/>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43328">
              <w:rPr>
                <w:color w:val="000000"/>
                <w:sz w:val="20"/>
                <w:szCs w:val="20"/>
              </w:rPr>
              <w:t>0</w:t>
            </w:r>
          </w:p>
        </w:tc>
        <w:tc>
          <w:tcPr>
            <w:tcW w:w="3025" w:type="dxa"/>
          </w:tcPr>
          <w:p w14:paraId="580E21BB" w14:textId="77777777" w:rsidR="008D222F" w:rsidRPr="00343328" w:rsidRDefault="00000000">
            <w:pPr>
              <w:widowControl/>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43328">
              <w:rPr>
                <w:color w:val="000000"/>
                <w:sz w:val="20"/>
                <w:szCs w:val="20"/>
              </w:rPr>
              <w:t>-%</w:t>
            </w:r>
          </w:p>
        </w:tc>
      </w:tr>
    </w:tbl>
    <w:p w14:paraId="3B8F5E39" w14:textId="77777777" w:rsidR="008D222F" w:rsidRPr="00343328" w:rsidRDefault="00000000" w:rsidP="001515D1">
      <w:pPr>
        <w:pBdr>
          <w:bottom w:val="none" w:sz="0" w:space="8" w:color="000000"/>
        </w:pBdr>
        <w:shd w:val="clear" w:color="auto" w:fill="FFFFFF"/>
        <w:spacing w:line="360" w:lineRule="auto"/>
        <w:ind w:firstLine="709"/>
        <w:jc w:val="both"/>
      </w:pPr>
      <w:r w:rsidRPr="00343328">
        <w:t>Fonte: Autores (2025)</w:t>
      </w:r>
    </w:p>
    <w:p w14:paraId="061E78B8" w14:textId="77777777" w:rsidR="008D222F" w:rsidRPr="00343328" w:rsidRDefault="00000000">
      <w:pPr>
        <w:pBdr>
          <w:bottom w:val="none" w:sz="0" w:space="8" w:color="000000"/>
        </w:pBdr>
        <w:shd w:val="clear" w:color="auto" w:fill="FFFFFF"/>
        <w:spacing w:line="360" w:lineRule="auto"/>
        <w:ind w:firstLine="709"/>
        <w:jc w:val="both"/>
        <w:rPr>
          <w:sz w:val="24"/>
          <w:szCs w:val="24"/>
        </w:rPr>
      </w:pPr>
      <w:r w:rsidRPr="00343328">
        <w:rPr>
          <w:sz w:val="24"/>
          <w:szCs w:val="24"/>
        </w:rPr>
        <w:t xml:space="preserve">A tabela 1 evidencia que o sexo masculino foi o mais acometido, correspondendo a 54,5% dos casos registrados. Embora a diferença entre os sexos seja relativamente pequena no presente estudo, pesquisas realizadas em outros contextos apontam discrepâncias mais acentuadas. Paz </w:t>
      </w:r>
      <w:r w:rsidRPr="00343328">
        <w:rPr>
          <w:i/>
          <w:iCs/>
          <w:sz w:val="24"/>
          <w:szCs w:val="24"/>
        </w:rPr>
        <w:t xml:space="preserve">et al. </w:t>
      </w:r>
      <w:r w:rsidRPr="00343328">
        <w:rPr>
          <w:sz w:val="24"/>
          <w:szCs w:val="24"/>
        </w:rPr>
        <w:t>( 2021), por exemplo observaram que, no estado do Ceará, 63,07% dos casos ocorrem no sexo masculino e 36,3% no feminino. Em escala nacional, Lima (</w:t>
      </w:r>
      <w:r w:rsidRPr="00343328">
        <w:rPr>
          <w:i/>
          <w:iCs/>
          <w:sz w:val="24"/>
          <w:szCs w:val="24"/>
        </w:rPr>
        <w:t>et al,</w:t>
      </w:r>
      <w:r w:rsidRPr="00343328">
        <w:rPr>
          <w:sz w:val="24"/>
          <w:szCs w:val="24"/>
        </w:rPr>
        <w:t xml:space="preserve"> 2021), verificaram que os homens representam 62,08% das ocorrências. Diversos autores propõem possiveis explicações para esse padrão, tais como maior exposição ocupacional, diferenças na resposta imunológica e fatores hormonais associados ao sexo masculino que poderiam influenciar a susceptibilidade à infecção (Pinto, </w:t>
      </w:r>
      <w:r w:rsidRPr="00343328">
        <w:rPr>
          <w:i/>
          <w:iCs/>
          <w:sz w:val="24"/>
          <w:szCs w:val="24"/>
        </w:rPr>
        <w:t>et al</w:t>
      </w:r>
      <w:r w:rsidRPr="00343328">
        <w:rPr>
          <w:sz w:val="24"/>
          <w:szCs w:val="24"/>
        </w:rPr>
        <w:t xml:space="preserve">, 2025; Lima, 2017).  </w:t>
      </w:r>
    </w:p>
    <w:p w14:paraId="5A09CD4F" w14:textId="77777777" w:rsidR="008D222F" w:rsidRPr="00343328" w:rsidRDefault="00000000">
      <w:pPr>
        <w:pBdr>
          <w:bottom w:val="none" w:sz="0" w:space="8" w:color="000000"/>
        </w:pBdr>
        <w:shd w:val="clear" w:color="auto" w:fill="FFFFFF"/>
        <w:spacing w:line="360" w:lineRule="auto"/>
        <w:ind w:firstLine="709"/>
        <w:jc w:val="both"/>
        <w:rPr>
          <w:sz w:val="23"/>
          <w:szCs w:val="23"/>
        </w:rPr>
      </w:pPr>
      <w:r w:rsidRPr="00343328">
        <w:rPr>
          <w:sz w:val="24"/>
          <w:szCs w:val="24"/>
        </w:rPr>
        <w:t xml:space="preserve">Observa-se também predominância expressiva de casos em crianças, que representam  72,8% do total. </w:t>
      </w:r>
      <w:r w:rsidRPr="00343328">
        <w:rPr>
          <w:sz w:val="23"/>
          <w:szCs w:val="23"/>
        </w:rPr>
        <w:t xml:space="preserve">Segundo Miranda </w:t>
      </w:r>
      <w:r w:rsidRPr="00343328">
        <w:rPr>
          <w:i/>
          <w:iCs/>
          <w:sz w:val="23"/>
          <w:szCs w:val="23"/>
        </w:rPr>
        <w:t>et al</w:t>
      </w:r>
      <w:r w:rsidRPr="00343328">
        <w:rPr>
          <w:sz w:val="23"/>
          <w:szCs w:val="23"/>
        </w:rPr>
        <w:t xml:space="preserve">. (2021), tal padrão pode estar relacionado à imaturidade do sistema imunológico infantil, ainda em desenvolvimento, o que torna esta população  mais vulnerável às infecções. Resultados semelhantes foram descritos por Rocha e Oliveira (2021), ao verificar que crianças e adolescentes menores de 14 anos apresentam maior incidência da doença no estado do Pará, quando comparados aos adultos. </w:t>
      </w:r>
    </w:p>
    <w:p w14:paraId="45163ED1" w14:textId="77777777" w:rsidR="008D222F" w:rsidRPr="00343328" w:rsidRDefault="00000000">
      <w:pPr>
        <w:pBdr>
          <w:bottom w:val="none" w:sz="0" w:space="8" w:color="000000"/>
        </w:pBdr>
        <w:shd w:val="clear" w:color="auto" w:fill="FFFFFF"/>
        <w:spacing w:line="360" w:lineRule="auto"/>
        <w:ind w:firstLine="709"/>
        <w:jc w:val="both"/>
        <w:rPr>
          <w:sz w:val="23"/>
          <w:szCs w:val="23"/>
        </w:rPr>
      </w:pPr>
      <w:r w:rsidRPr="00343328">
        <w:rPr>
          <w:sz w:val="23"/>
          <w:szCs w:val="23"/>
        </w:rPr>
        <w:lastRenderedPageBreak/>
        <w:t xml:space="preserve">Por outro lado, o estudo de </w:t>
      </w:r>
      <w:r w:rsidRPr="00343328">
        <w:rPr>
          <w:sz w:val="24"/>
          <w:szCs w:val="24"/>
        </w:rPr>
        <w:t xml:space="preserve">Pinto </w:t>
      </w:r>
      <w:r w:rsidRPr="00343328">
        <w:rPr>
          <w:i/>
          <w:iCs/>
          <w:sz w:val="24"/>
          <w:szCs w:val="24"/>
        </w:rPr>
        <w:t>et al.</w:t>
      </w:r>
      <w:r w:rsidRPr="00343328">
        <w:rPr>
          <w:sz w:val="24"/>
          <w:szCs w:val="24"/>
        </w:rPr>
        <w:t xml:space="preserve"> (2025) revelou  um perfil distinto, com maior acometimento entre adultos jovens de 20 a 39 anos (24,1%; n=27), seguido pelas faixas etárias de 40 a 59 anos (19,5%; n=22), 1 a 4 anos (19,0%; n=21) e 5 a 9 anos (9,4%; n=10). A autora destaca que, nos últimos anos, observa-se uma tendência de crescimento dos casos entre adultos jovens, em  alguns contextos superando o quantitativo registrado  em crianças.</w:t>
      </w:r>
    </w:p>
    <w:p w14:paraId="0174C015" w14:textId="77777777" w:rsidR="008D222F" w:rsidRPr="00343328" w:rsidRDefault="00000000">
      <w:pPr>
        <w:pBdr>
          <w:bottom w:val="none" w:sz="0" w:space="8" w:color="000000"/>
        </w:pBdr>
        <w:shd w:val="clear" w:color="auto" w:fill="FFFFFF"/>
        <w:spacing w:line="360" w:lineRule="auto"/>
        <w:ind w:firstLine="709"/>
        <w:jc w:val="both"/>
        <w:rPr>
          <w:sz w:val="23"/>
          <w:szCs w:val="23"/>
        </w:rPr>
      </w:pPr>
      <w:r w:rsidRPr="00343328">
        <w:rPr>
          <w:sz w:val="23"/>
          <w:szCs w:val="23"/>
        </w:rPr>
        <w:t xml:space="preserve">Quanto à escolaridade, verificou-se elevado número de registros classificados como “não se aplica”, seguidos de campos ignorados ou em branco. Essa lacuna dificulta análises mais aprofundadas, pois restringe o conhecimento sobre o nível de instrução das pessoas acometidas. Nesse sentido, </w:t>
      </w:r>
      <w:r w:rsidR="00977295" w:rsidRPr="00343328">
        <w:rPr>
          <w:sz w:val="24"/>
          <w:szCs w:val="24"/>
        </w:rPr>
        <w:t xml:space="preserve">Souza </w:t>
      </w:r>
      <w:r w:rsidR="00977295" w:rsidRPr="00343328">
        <w:rPr>
          <w:i/>
          <w:iCs/>
          <w:sz w:val="24"/>
          <w:szCs w:val="24"/>
        </w:rPr>
        <w:t>et al.</w:t>
      </w:r>
      <w:r w:rsidR="00977295" w:rsidRPr="00343328">
        <w:rPr>
          <w:sz w:val="24"/>
          <w:szCs w:val="24"/>
        </w:rPr>
        <w:t xml:space="preserve"> (2020), </w:t>
      </w:r>
      <w:r w:rsidRPr="00343328">
        <w:rPr>
          <w:sz w:val="23"/>
          <w:szCs w:val="23"/>
        </w:rPr>
        <w:t xml:space="preserve"> destacam a necessidade de aprimoramento das ações de vigilância epidemiológica, incluindo a atualização contínua dos sistemas de notificação. Uma hipótese para o elevado percentual da categoria “não se aplica” refere-se ao fato de que grande parte dos casos envolve crianças menores de quatro anos, que ainda não ingressaram no sistema educacional formal.</w:t>
      </w:r>
    </w:p>
    <w:p w14:paraId="76F9852C" w14:textId="77777777" w:rsidR="008D222F" w:rsidRPr="00343328" w:rsidRDefault="00000000">
      <w:pPr>
        <w:pBdr>
          <w:bottom w:val="none" w:sz="0" w:space="8" w:color="000000"/>
        </w:pBdr>
        <w:shd w:val="clear" w:color="auto" w:fill="FFFFFF"/>
        <w:spacing w:line="360" w:lineRule="auto"/>
        <w:ind w:firstLine="709"/>
        <w:jc w:val="both"/>
        <w:rPr>
          <w:sz w:val="24"/>
          <w:szCs w:val="24"/>
        </w:rPr>
      </w:pPr>
      <w:r w:rsidRPr="00343328">
        <w:rPr>
          <w:sz w:val="24"/>
          <w:szCs w:val="24"/>
        </w:rPr>
        <w:t xml:space="preserve">A relevância da escolaridade no contexto da LV também é destacada por Oliveira e Pimenta (2014), ao afirmarem que indivíduos com menor nível de instrução tendem a apresentar maior vulnerabilidade à doença devido à menor exposição a práticas adequadas de educação em saúde, as quais influenciam diretamente na prevenção.. </w:t>
      </w:r>
    </w:p>
    <w:p w14:paraId="5D76D4E1" w14:textId="77777777" w:rsidR="008D222F" w:rsidRPr="00343328" w:rsidRDefault="00000000">
      <w:pPr>
        <w:pBdr>
          <w:bottom w:val="none" w:sz="0" w:space="8" w:color="000000"/>
        </w:pBdr>
        <w:shd w:val="clear" w:color="auto" w:fill="FFFFFF"/>
        <w:spacing w:line="360" w:lineRule="auto"/>
        <w:ind w:firstLine="709"/>
        <w:jc w:val="both"/>
        <w:rPr>
          <w:sz w:val="24"/>
          <w:szCs w:val="24"/>
        </w:rPr>
      </w:pPr>
      <w:r w:rsidRPr="00343328">
        <w:rPr>
          <w:sz w:val="24"/>
          <w:szCs w:val="24"/>
        </w:rPr>
        <w:t>No que se refere à variável raça/cor, observou-se predominância da categoria parda (86,4%). Tendo em vista que, historicamente, a etnia do povo nortista é resultado sobretudo da miscigenação de diferentes povos,</w:t>
      </w:r>
      <w:r w:rsidRPr="00343328">
        <w:t xml:space="preserve"> </w:t>
      </w:r>
      <w:r w:rsidRPr="00343328">
        <w:rPr>
          <w:sz w:val="24"/>
          <w:szCs w:val="24"/>
        </w:rPr>
        <w:t xml:space="preserve">tais dados são compatíveis com o cenário demográfico local. </w:t>
      </w:r>
      <w:r w:rsidR="008D272D">
        <w:rPr>
          <w:sz w:val="24"/>
          <w:szCs w:val="24"/>
        </w:rPr>
        <w:t xml:space="preserve">Pois, o </w:t>
      </w:r>
      <w:r w:rsidRPr="00343328">
        <w:rPr>
          <w:sz w:val="24"/>
          <w:szCs w:val="24"/>
        </w:rPr>
        <w:t>Censo Demográfico</w:t>
      </w:r>
      <w:r w:rsidR="008D272D">
        <w:rPr>
          <w:sz w:val="24"/>
          <w:szCs w:val="24"/>
        </w:rPr>
        <w:t xml:space="preserve"> de </w:t>
      </w:r>
      <w:r w:rsidRPr="00343328">
        <w:rPr>
          <w:sz w:val="24"/>
          <w:szCs w:val="24"/>
        </w:rPr>
        <w:t xml:space="preserve">2022, </w:t>
      </w:r>
      <w:r w:rsidR="008D272D">
        <w:rPr>
          <w:sz w:val="24"/>
          <w:szCs w:val="24"/>
        </w:rPr>
        <w:t xml:space="preserve">demonstrou </w:t>
      </w:r>
      <w:r w:rsidR="00635ABB">
        <w:rPr>
          <w:sz w:val="24"/>
          <w:szCs w:val="24"/>
        </w:rPr>
        <w:t xml:space="preserve">que </w:t>
      </w:r>
      <w:r w:rsidRPr="00343328">
        <w:rPr>
          <w:sz w:val="24"/>
          <w:szCs w:val="24"/>
        </w:rPr>
        <w:t xml:space="preserve">69,9% da população </w:t>
      </w:r>
      <w:r w:rsidR="008D272D">
        <w:rPr>
          <w:sz w:val="24"/>
          <w:szCs w:val="24"/>
        </w:rPr>
        <w:t>paraense</w:t>
      </w:r>
      <w:r w:rsidRPr="00343328">
        <w:rPr>
          <w:sz w:val="24"/>
          <w:szCs w:val="24"/>
        </w:rPr>
        <w:t xml:space="preserve"> se autodeclara parda</w:t>
      </w:r>
      <w:r w:rsidR="00635ABB">
        <w:rPr>
          <w:sz w:val="24"/>
          <w:szCs w:val="24"/>
        </w:rPr>
        <w:t>.</w:t>
      </w:r>
    </w:p>
    <w:p w14:paraId="32D1B6B2" w14:textId="77777777" w:rsidR="008D222F" w:rsidRPr="00343328" w:rsidRDefault="00000000">
      <w:pPr>
        <w:pBdr>
          <w:bottom w:val="none" w:sz="0" w:space="8" w:color="000000"/>
        </w:pBdr>
        <w:shd w:val="clear" w:color="auto" w:fill="FFFFFF"/>
        <w:spacing w:line="360" w:lineRule="auto"/>
        <w:ind w:firstLine="709"/>
        <w:jc w:val="both"/>
        <w:rPr>
          <w:sz w:val="24"/>
          <w:szCs w:val="24"/>
        </w:rPr>
      </w:pPr>
      <w:r w:rsidRPr="00343328">
        <w:rPr>
          <w:sz w:val="24"/>
          <w:szCs w:val="24"/>
        </w:rPr>
        <w:t xml:space="preserve">A variável zona de residência não pôde ser analisada devido a ausência de  registros no sistema consultado, evidenciando limitações já discutidas por Souza </w:t>
      </w:r>
      <w:r w:rsidRPr="00343328">
        <w:rPr>
          <w:i/>
          <w:iCs/>
          <w:sz w:val="24"/>
          <w:szCs w:val="24"/>
        </w:rPr>
        <w:t>et al.</w:t>
      </w:r>
      <w:r w:rsidRPr="00343328">
        <w:rPr>
          <w:sz w:val="24"/>
          <w:szCs w:val="24"/>
        </w:rPr>
        <w:t xml:space="preserve"> (2020), que apontam  a incompletude de dados do SINAN como obstáculo para subsidiar estratégias de controle e promoção da saúde. </w:t>
      </w:r>
    </w:p>
    <w:p w14:paraId="325AA747" w14:textId="77777777" w:rsidR="008D222F" w:rsidRPr="00343328" w:rsidRDefault="00000000">
      <w:pPr>
        <w:pBdr>
          <w:bottom w:val="none" w:sz="0" w:space="8" w:color="000000"/>
        </w:pBdr>
        <w:shd w:val="clear" w:color="auto" w:fill="FFFFFF"/>
        <w:spacing w:line="360" w:lineRule="auto"/>
        <w:ind w:firstLine="709"/>
        <w:jc w:val="both"/>
        <w:rPr>
          <w:sz w:val="24"/>
          <w:szCs w:val="24"/>
        </w:rPr>
      </w:pPr>
      <w:r w:rsidRPr="00343328">
        <w:rPr>
          <w:sz w:val="24"/>
          <w:szCs w:val="24"/>
        </w:rPr>
        <w:t>Em relação à autoctonia, verificou-se que 95,4% dos casos eram provenientes do próprio município</w:t>
      </w:r>
      <w:r w:rsidR="003F12DC">
        <w:rPr>
          <w:sz w:val="24"/>
          <w:szCs w:val="24"/>
        </w:rPr>
        <w:t xml:space="preserve">. </w:t>
      </w:r>
      <w:r w:rsidRPr="00343328">
        <w:rPr>
          <w:sz w:val="24"/>
          <w:szCs w:val="24"/>
        </w:rPr>
        <w:t xml:space="preserve">No tocante à sintomatologia, foram observados sinais clínicos clássicos associados à LV. Os sintomas mais frequentes foram fraqueza (95,4%), seguida de febre e palidez, ambos presentes em 86,3% dos pacientes (Figura 2). Também foram registradas manifestações </w:t>
      </w:r>
      <w:r w:rsidRPr="00343328">
        <w:rPr>
          <w:sz w:val="24"/>
          <w:szCs w:val="24"/>
        </w:rPr>
        <w:lastRenderedPageBreak/>
        <w:t>relacionadas ao crescimento dos órgãos afetados, como hepatomegalia e esplenomegalia, ocorrendo em 59,1% e 54,5% dos casos, respectivamente.</w:t>
      </w:r>
    </w:p>
    <w:p w14:paraId="5AD015C0" w14:textId="77777777" w:rsidR="008D222F" w:rsidRPr="00343328" w:rsidRDefault="00000000" w:rsidP="00794E9C">
      <w:pPr>
        <w:pBdr>
          <w:bottom w:val="none" w:sz="0" w:space="8" w:color="000000"/>
        </w:pBdr>
        <w:shd w:val="clear" w:color="auto" w:fill="FFFFFF"/>
        <w:jc w:val="center"/>
      </w:pPr>
      <w:r w:rsidRPr="00343328">
        <w:t>Figura 2 - Distribuição gráfica dos sintomas registrados para LV em Cametá no período de 2020 a 2024.</w:t>
      </w:r>
    </w:p>
    <w:p w14:paraId="7BDF411C" w14:textId="77777777" w:rsidR="008D222F" w:rsidRPr="00343328" w:rsidRDefault="00000000">
      <w:pPr>
        <w:pBdr>
          <w:bottom w:val="none" w:sz="0" w:space="8" w:color="000000"/>
        </w:pBdr>
        <w:shd w:val="clear" w:color="auto" w:fill="FFFFFF"/>
        <w:spacing w:line="360" w:lineRule="auto"/>
        <w:jc w:val="both"/>
        <w:rPr>
          <w:sz w:val="24"/>
          <w:szCs w:val="24"/>
        </w:rPr>
      </w:pPr>
      <w:r w:rsidRPr="00343328">
        <w:rPr>
          <w:noProof/>
          <w:sz w:val="24"/>
          <w:szCs w:val="24"/>
        </w:rPr>
        <w:drawing>
          <wp:inline distT="0" distB="0" distL="0" distR="0" wp14:anchorId="0FBE48E0" wp14:editId="11FE7F10">
            <wp:extent cx="5760000" cy="1440000"/>
            <wp:effectExtent l="0" t="0" r="12700" b="825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D1D19F" w14:textId="77777777" w:rsidR="008D222F" w:rsidRPr="00343328" w:rsidRDefault="00000000">
      <w:pPr>
        <w:pBdr>
          <w:bottom w:val="none" w:sz="0" w:space="8" w:color="000000"/>
        </w:pBdr>
        <w:shd w:val="clear" w:color="auto" w:fill="FFFFFF"/>
        <w:tabs>
          <w:tab w:val="left" w:pos="2500"/>
        </w:tabs>
        <w:spacing w:line="432" w:lineRule="auto"/>
        <w:jc w:val="both"/>
      </w:pPr>
      <w:r w:rsidRPr="00343328">
        <w:t>Fonte: Autores (2025)</w:t>
      </w:r>
    </w:p>
    <w:p w14:paraId="1263A3BF" w14:textId="77777777" w:rsidR="008D222F" w:rsidRPr="00343328" w:rsidRDefault="00000000">
      <w:pPr>
        <w:widowControl/>
        <w:spacing w:line="360" w:lineRule="auto"/>
        <w:ind w:firstLine="709"/>
        <w:jc w:val="both"/>
        <w:rPr>
          <w:sz w:val="24"/>
          <w:szCs w:val="24"/>
        </w:rPr>
      </w:pPr>
      <w:r w:rsidRPr="00343328">
        <w:rPr>
          <w:sz w:val="24"/>
          <w:szCs w:val="24"/>
        </w:rPr>
        <w:t xml:space="preserve">O critério de confirmação e descarte dos casos ocorreu predominantemente por meio de diagnóstico laboratorial, utilizado em 91% das notificações, seguido pelo critério clínico-epidemiológico com 9% dos diagnósticos. Quanto ao tipo de entrada, 18 casos (81,9%) foram classificados como novos, 2 (9,1%) como recidivas e 2 (9,1%) foram registrados como ignorados ou em branco.. </w:t>
      </w:r>
    </w:p>
    <w:p w14:paraId="138D87D8" w14:textId="77777777" w:rsidR="008D222F" w:rsidRPr="00343328" w:rsidRDefault="00000000">
      <w:pPr>
        <w:widowControl/>
        <w:spacing w:line="360" w:lineRule="auto"/>
        <w:ind w:firstLine="709"/>
        <w:jc w:val="both"/>
        <w:rPr>
          <w:sz w:val="24"/>
          <w:szCs w:val="24"/>
        </w:rPr>
      </w:pPr>
      <w:r w:rsidRPr="00343328">
        <w:rPr>
          <w:sz w:val="24"/>
          <w:szCs w:val="24"/>
        </w:rPr>
        <w:t xml:space="preserve">No presente estudo felizmente foram identificados somente 1 casos de coinfecção por HIV registrado  em 2023. A coinfecção é reconhecida como fator agravante para o aumento da mortalidade e para a ocorrência de recidivas (Brasil, 2015), além de estar associada a manifestações sistêmicas que podem envolver os sistemas gastrointestinal, respiratório, cardíaco, renal, adrenal, sinovial e nervoso central (Alvar </w:t>
      </w:r>
      <w:r w:rsidRPr="001515D1">
        <w:rPr>
          <w:i/>
          <w:iCs/>
          <w:sz w:val="24"/>
          <w:szCs w:val="24"/>
        </w:rPr>
        <w:t>et al</w:t>
      </w:r>
      <w:r w:rsidRPr="00343328">
        <w:rPr>
          <w:sz w:val="24"/>
          <w:szCs w:val="24"/>
        </w:rPr>
        <w:t xml:space="preserve">., 1997 </w:t>
      </w:r>
      <w:r w:rsidRPr="00343328">
        <w:rPr>
          <w:i/>
          <w:iCs/>
          <w:sz w:val="24"/>
          <w:szCs w:val="24"/>
        </w:rPr>
        <w:t xml:space="preserve">apud </w:t>
      </w:r>
      <w:r w:rsidRPr="00343328">
        <w:rPr>
          <w:sz w:val="24"/>
          <w:szCs w:val="24"/>
        </w:rPr>
        <w:t>Brasil, 2015). Estima-se que a infecção pelo HIV aumente o risco do desenvolvimento da LV em aproximadamente 2.320 vezes. Contudo, é pertinente ressaltar que o número identificado neste estudo pode estar subestimado, pois nove fichas de notificação não continham informações sorológicas para HIV, sendo, portanto, classificadas como ignoradas.</w:t>
      </w:r>
    </w:p>
    <w:p w14:paraId="37A11873" w14:textId="77777777" w:rsidR="008D222F" w:rsidRPr="00343328" w:rsidRDefault="00000000">
      <w:pPr>
        <w:widowControl/>
        <w:spacing w:line="360" w:lineRule="auto"/>
        <w:ind w:firstLine="709"/>
        <w:jc w:val="both"/>
        <w:rPr>
          <w:sz w:val="24"/>
          <w:szCs w:val="24"/>
        </w:rPr>
      </w:pPr>
      <w:r w:rsidRPr="00343328">
        <w:rPr>
          <w:sz w:val="24"/>
          <w:szCs w:val="24"/>
        </w:rPr>
        <w:t>O fármaco mais prescrito foi o Antimonial Pentavalente, utilizado em 36,3% dos tratamentos. Em relação aos possíveis desfechos clínicos (cura, óbito por LV, óbito por outras causas, transferência ou abandono do tratamento), registou-se que 8 pacientes (36,3%) evoluíram para cura e 2 (9,1%) foram transferidos.</w:t>
      </w:r>
    </w:p>
    <w:p w14:paraId="3A33C959" w14:textId="0F989B27" w:rsidR="008D222F" w:rsidRPr="00343328" w:rsidRDefault="00000000" w:rsidP="00794E9C">
      <w:pPr>
        <w:widowControl/>
        <w:spacing w:line="360" w:lineRule="auto"/>
        <w:ind w:firstLine="709"/>
        <w:jc w:val="both"/>
        <w:rPr>
          <w:sz w:val="24"/>
          <w:szCs w:val="24"/>
        </w:rPr>
      </w:pPr>
      <w:r w:rsidRPr="00343328">
        <w:rPr>
          <w:sz w:val="24"/>
          <w:szCs w:val="24"/>
        </w:rPr>
        <w:lastRenderedPageBreak/>
        <w:t>Ressalta-se a ausência de registros de óbito</w:t>
      </w:r>
      <w:r w:rsidR="00745707">
        <w:rPr>
          <w:sz w:val="24"/>
          <w:szCs w:val="24"/>
        </w:rPr>
        <w:t>s por LV</w:t>
      </w:r>
      <w:r w:rsidRPr="00343328">
        <w:rPr>
          <w:sz w:val="24"/>
          <w:szCs w:val="24"/>
        </w:rPr>
        <w:t xml:space="preserve">  no período estudado. Entretanto, o elevado percentual de fichas classificadas como ignoradas ou em branco (50%) destaca a relevância do preenchimento completo e adequado dos sistemas de informação, condição essencial para a vigilância epidemiológica e para a formulação de políticas públicas efetivas.</w:t>
      </w:r>
    </w:p>
    <w:p w14:paraId="6FC01F70" w14:textId="77777777" w:rsidR="008D222F" w:rsidRPr="00343328" w:rsidRDefault="00000000">
      <w:pPr>
        <w:widowControl/>
        <w:tabs>
          <w:tab w:val="left" w:pos="1290"/>
        </w:tabs>
        <w:spacing w:after="160" w:line="259" w:lineRule="auto"/>
        <w:jc w:val="both"/>
        <w:rPr>
          <w:sz w:val="28"/>
          <w:szCs w:val="28"/>
        </w:rPr>
      </w:pPr>
      <w:r w:rsidRPr="00343328">
        <w:rPr>
          <w:b/>
          <w:bCs/>
          <w:sz w:val="24"/>
          <w:szCs w:val="24"/>
        </w:rPr>
        <w:t>4. CONCLUSÃO</w:t>
      </w:r>
    </w:p>
    <w:p w14:paraId="38831029" w14:textId="77777777" w:rsidR="004E4556" w:rsidRDefault="00000000" w:rsidP="004E4556">
      <w:pPr>
        <w:widowControl/>
        <w:spacing w:line="360" w:lineRule="auto"/>
        <w:ind w:firstLine="709"/>
        <w:jc w:val="both"/>
        <w:rPr>
          <w:sz w:val="24"/>
          <w:szCs w:val="24"/>
        </w:rPr>
      </w:pPr>
      <w:r w:rsidRPr="00343328">
        <w:rPr>
          <w:sz w:val="24"/>
          <w:szCs w:val="24"/>
        </w:rPr>
        <w:tab/>
        <w:t>Embora o estudo apresente limitações decorrentes do uso exclusivo de dados secundários do Sistema de Informação de Agravos de Notificação (SINAN), tais como o elevado percentual de variáveis registradas como ignoradas ou em branco, a possível subnotificação durante a pandemia de Covid-19 (2020–2021)</w:t>
      </w:r>
      <w:r w:rsidR="004809BF">
        <w:rPr>
          <w:sz w:val="24"/>
          <w:szCs w:val="24"/>
        </w:rPr>
        <w:t xml:space="preserve"> e</w:t>
      </w:r>
      <w:r w:rsidRPr="00343328">
        <w:rPr>
          <w:sz w:val="24"/>
          <w:szCs w:val="24"/>
        </w:rPr>
        <w:t xml:space="preserve"> a ausência de informação sobre a zona de residência, a natureza compulsória da notificação da Leishmaniose Visceral e sua relação direta com o acesso aos fármacos de tratamento tendem a minimizar a perda de informações essenciais. Dessa forma, considera-se que tais limitações não comprometem de maneira significativa a análise epidemiológica realizada, permitindo que o estudo represente de forma fidedigna o cenário da Leishmaniose Visceral em Cametá no período investigado.</w:t>
      </w:r>
    </w:p>
    <w:p w14:paraId="170FD422" w14:textId="77777777" w:rsidR="004E4556" w:rsidRDefault="004E4556" w:rsidP="004E4556">
      <w:pPr>
        <w:widowControl/>
        <w:spacing w:line="360" w:lineRule="auto"/>
        <w:ind w:firstLine="709"/>
        <w:jc w:val="both"/>
        <w:rPr>
          <w:sz w:val="24"/>
          <w:szCs w:val="24"/>
        </w:rPr>
      </w:pPr>
      <w:r w:rsidRPr="004E4556">
        <w:rPr>
          <w:sz w:val="24"/>
          <w:szCs w:val="24"/>
        </w:rPr>
        <w:t xml:space="preserve">Os resultados deste estudo também evidenciam a importância de políticas públicas específicas para municípios médios da Amazônia, que ocupam posição estratégica na dinâmica regional. </w:t>
      </w:r>
      <w:r>
        <w:rPr>
          <w:sz w:val="24"/>
          <w:szCs w:val="24"/>
        </w:rPr>
        <w:t>Com</w:t>
      </w:r>
      <w:r w:rsidRPr="004E4556">
        <w:rPr>
          <w:sz w:val="24"/>
          <w:szCs w:val="24"/>
        </w:rPr>
        <w:t xml:space="preserve"> fluxos populacionais</w:t>
      </w:r>
      <w:r>
        <w:rPr>
          <w:sz w:val="24"/>
          <w:szCs w:val="24"/>
        </w:rPr>
        <w:t xml:space="preserve"> intensos</w:t>
      </w:r>
      <w:r w:rsidR="00E83744">
        <w:rPr>
          <w:sz w:val="24"/>
          <w:szCs w:val="24"/>
        </w:rPr>
        <w:t xml:space="preserve"> e</w:t>
      </w:r>
      <w:r w:rsidRPr="004E4556">
        <w:rPr>
          <w:sz w:val="24"/>
          <w:szCs w:val="24"/>
        </w:rPr>
        <w:t xml:space="preserve"> crescimento urbano acelerado</w:t>
      </w:r>
      <w:r w:rsidR="00E83744">
        <w:rPr>
          <w:sz w:val="24"/>
          <w:szCs w:val="24"/>
        </w:rPr>
        <w:t xml:space="preserve">, </w:t>
      </w:r>
      <w:r w:rsidRPr="004E4556">
        <w:rPr>
          <w:sz w:val="24"/>
          <w:szCs w:val="24"/>
        </w:rPr>
        <w:t>investir em políticas direcionadas a essas localidades</w:t>
      </w:r>
      <w:r w:rsidR="00003AE5">
        <w:rPr>
          <w:sz w:val="24"/>
          <w:szCs w:val="24"/>
        </w:rPr>
        <w:t xml:space="preserve">, </w:t>
      </w:r>
      <w:r w:rsidRPr="004E4556">
        <w:rPr>
          <w:sz w:val="24"/>
          <w:szCs w:val="24"/>
        </w:rPr>
        <w:t>é essencial para reduzir vulnerabilidades e qualificar a resposta regional à doença</w:t>
      </w:r>
      <w:r w:rsidR="00E83744">
        <w:rPr>
          <w:sz w:val="24"/>
          <w:szCs w:val="24"/>
        </w:rPr>
        <w:t>.</w:t>
      </w:r>
    </w:p>
    <w:p w14:paraId="5E2224E6" w14:textId="77777777" w:rsidR="001515D1" w:rsidRPr="00343328" w:rsidRDefault="001515D1" w:rsidP="004E4556">
      <w:pPr>
        <w:widowControl/>
        <w:spacing w:line="360" w:lineRule="auto"/>
        <w:ind w:firstLine="709"/>
        <w:jc w:val="both"/>
        <w:rPr>
          <w:sz w:val="24"/>
          <w:szCs w:val="24"/>
        </w:rPr>
      </w:pPr>
    </w:p>
    <w:p w14:paraId="5549CAA8" w14:textId="77777777" w:rsidR="006F0E5A" w:rsidRPr="00343328" w:rsidRDefault="00000000" w:rsidP="006F0E5A">
      <w:pPr>
        <w:widowControl/>
        <w:tabs>
          <w:tab w:val="left" w:pos="1290"/>
        </w:tabs>
        <w:spacing w:after="160" w:line="259" w:lineRule="auto"/>
        <w:jc w:val="both"/>
        <w:rPr>
          <w:color w:val="FF0000"/>
          <w:sz w:val="24"/>
          <w:szCs w:val="24"/>
        </w:rPr>
      </w:pPr>
      <w:r w:rsidRPr="00343328">
        <w:rPr>
          <w:b/>
          <w:bCs/>
          <w:sz w:val="24"/>
          <w:szCs w:val="24"/>
        </w:rPr>
        <w:t xml:space="preserve">REFERÊNCIAS </w:t>
      </w:r>
    </w:p>
    <w:p w14:paraId="0AF0729D" w14:textId="77777777" w:rsidR="006F0E5A" w:rsidRPr="001515D1" w:rsidRDefault="006F0E5A" w:rsidP="00443909">
      <w:pPr>
        <w:spacing w:after="240"/>
        <w:rPr>
          <w:sz w:val="24"/>
          <w:szCs w:val="24"/>
        </w:rPr>
      </w:pPr>
      <w:r w:rsidRPr="001515D1">
        <w:rPr>
          <w:sz w:val="24"/>
          <w:szCs w:val="24"/>
        </w:rPr>
        <w:t>BERTOLLO, Denise Maria Bussoni, SOARES, Márcia Maria Costa Nunes. Impacto da Pandemia de Covid 19 nas ações de Vigilância e Controle da Infecção por Leishmaniose Visceral. </w:t>
      </w:r>
      <w:r w:rsidRPr="001515D1">
        <w:rPr>
          <w:b/>
          <w:bCs/>
          <w:sz w:val="24"/>
          <w:szCs w:val="24"/>
          <w:lang w:val="en-CA"/>
        </w:rPr>
        <w:t xml:space="preserve">The Brazilian Journal </w:t>
      </w:r>
      <w:proofErr w:type="gramStart"/>
      <w:r w:rsidRPr="001515D1">
        <w:rPr>
          <w:b/>
          <w:bCs/>
          <w:sz w:val="24"/>
          <w:szCs w:val="24"/>
          <w:lang w:val="en-CA"/>
        </w:rPr>
        <w:t>Of</w:t>
      </w:r>
      <w:proofErr w:type="gramEnd"/>
      <w:r w:rsidRPr="001515D1">
        <w:rPr>
          <w:b/>
          <w:bCs/>
          <w:sz w:val="24"/>
          <w:szCs w:val="24"/>
          <w:lang w:val="en-CA"/>
        </w:rPr>
        <w:t xml:space="preserve"> Infectious Diseases</w:t>
      </w:r>
      <w:r w:rsidRPr="001515D1">
        <w:rPr>
          <w:sz w:val="24"/>
          <w:szCs w:val="24"/>
          <w:lang w:val="en-CA"/>
        </w:rPr>
        <w:t xml:space="preserve">, [S.L.], v. 26, p. 102288, </w:t>
      </w:r>
      <w:proofErr w:type="spellStart"/>
      <w:r w:rsidRPr="001515D1">
        <w:rPr>
          <w:sz w:val="24"/>
          <w:szCs w:val="24"/>
          <w:lang w:val="en-CA"/>
        </w:rPr>
        <w:t>jan.</w:t>
      </w:r>
      <w:proofErr w:type="spellEnd"/>
      <w:r w:rsidRPr="001515D1">
        <w:rPr>
          <w:sz w:val="24"/>
          <w:szCs w:val="24"/>
          <w:lang w:val="en-CA"/>
        </w:rPr>
        <w:t xml:space="preserve"> 2022. </w:t>
      </w:r>
      <w:r w:rsidRPr="001515D1">
        <w:rPr>
          <w:sz w:val="24"/>
          <w:szCs w:val="24"/>
        </w:rPr>
        <w:t xml:space="preserve">Elsevier BV. http://dx.doi.org/10.1016/j.bjid.2021.102288. Disponível em: </w:t>
      </w:r>
      <w:hyperlink r:id="rId9" w:history="1">
        <w:r w:rsidRPr="001515D1">
          <w:rPr>
            <w:rStyle w:val="Hyperlink"/>
            <w:color w:val="auto"/>
            <w:sz w:val="24"/>
            <w:szCs w:val="24"/>
            <w:u w:val="none"/>
          </w:rPr>
          <w:t>https://www.sciencedirect.com/science/article/pii/S1413867021007571</w:t>
        </w:r>
      </w:hyperlink>
      <w:r w:rsidRPr="001515D1">
        <w:rPr>
          <w:sz w:val="24"/>
          <w:szCs w:val="24"/>
        </w:rPr>
        <w:t>. Acesso em: 15 nov. 2025.</w:t>
      </w:r>
    </w:p>
    <w:p w14:paraId="4569B3DF" w14:textId="77777777" w:rsidR="006F0E5A" w:rsidRPr="001515D1" w:rsidRDefault="006F0E5A" w:rsidP="00443909">
      <w:pPr>
        <w:spacing w:after="240"/>
        <w:rPr>
          <w:sz w:val="24"/>
          <w:szCs w:val="24"/>
        </w:rPr>
      </w:pPr>
      <w:r w:rsidRPr="001515D1">
        <w:rPr>
          <w:sz w:val="24"/>
          <w:szCs w:val="24"/>
        </w:rPr>
        <w:t xml:space="preserve">BRASIL. Ministério da Saúde. Secretaria de Vigilância em Saúde. Departamento de Vigilância. Epidemiológica. </w:t>
      </w:r>
      <w:r w:rsidRPr="001515D1">
        <w:rPr>
          <w:b/>
          <w:bCs/>
          <w:sz w:val="24"/>
          <w:szCs w:val="24"/>
        </w:rPr>
        <w:t xml:space="preserve">Leishmaniose visceral: </w:t>
      </w:r>
      <w:r w:rsidRPr="001515D1">
        <w:rPr>
          <w:sz w:val="24"/>
          <w:szCs w:val="24"/>
        </w:rPr>
        <w:t>recomendações clínicas para redução da letalidade.</w:t>
      </w:r>
    </w:p>
    <w:p w14:paraId="03264CC1" w14:textId="77777777" w:rsidR="006F0E5A" w:rsidRPr="001515D1" w:rsidRDefault="006F0E5A" w:rsidP="00443909">
      <w:pPr>
        <w:spacing w:after="240"/>
        <w:rPr>
          <w:sz w:val="24"/>
          <w:szCs w:val="24"/>
        </w:rPr>
      </w:pPr>
      <w:r w:rsidRPr="001515D1">
        <w:rPr>
          <w:sz w:val="24"/>
          <w:szCs w:val="24"/>
        </w:rPr>
        <w:t>BRASIL. Ministério da Saúde. Secretaria de Vigilância em Saúde. Departamento de Vigilância. Epidemiológica</w:t>
      </w:r>
      <w:r w:rsidRPr="001515D1">
        <w:rPr>
          <w:b/>
          <w:bCs/>
          <w:sz w:val="24"/>
          <w:szCs w:val="24"/>
        </w:rPr>
        <w:t xml:space="preserve">. Estratificação de risco da leishmaniose visceral por município </w:t>
      </w:r>
      <w:r w:rsidRPr="001515D1">
        <w:rPr>
          <w:b/>
          <w:bCs/>
          <w:sz w:val="24"/>
          <w:szCs w:val="24"/>
        </w:rPr>
        <w:lastRenderedPageBreak/>
        <w:t>de infecção. Brasil, 2022 a 202</w:t>
      </w:r>
      <w:r w:rsidRPr="001515D1">
        <w:rPr>
          <w:sz w:val="24"/>
          <w:szCs w:val="24"/>
        </w:rPr>
        <w:t xml:space="preserve">4. Brasília: Ministério da Saúde, 2025. Disponível em: </w:t>
      </w:r>
      <w:hyperlink r:id="rId10">
        <w:r w:rsidRPr="001515D1">
          <w:rPr>
            <w:sz w:val="24"/>
            <w:szCs w:val="24"/>
          </w:rPr>
          <w:t>https://www.gov.br/saude/pt-br/assuntos/saude-de-a-a-z/l/leishmaniose-visceral/estratificacao-de-risco/estratificacao-de-risco-da-leishmaniose-visceral-por-municipio-de-infeccao-brasil-2022-a-2024.pdf/view</w:t>
        </w:r>
      </w:hyperlink>
      <w:r w:rsidRPr="001515D1">
        <w:rPr>
          <w:sz w:val="24"/>
          <w:szCs w:val="24"/>
        </w:rPr>
        <w:t>.  Acesso em: 30 de out. 2025.</w:t>
      </w:r>
    </w:p>
    <w:p w14:paraId="6F5B3A50" w14:textId="77777777" w:rsidR="006F0E5A" w:rsidRPr="001515D1" w:rsidRDefault="006F0E5A" w:rsidP="00443909">
      <w:pPr>
        <w:spacing w:after="240"/>
        <w:rPr>
          <w:sz w:val="24"/>
          <w:szCs w:val="24"/>
        </w:rPr>
      </w:pPr>
      <w:r w:rsidRPr="001515D1">
        <w:rPr>
          <w:sz w:val="24"/>
          <w:szCs w:val="24"/>
        </w:rPr>
        <w:t xml:space="preserve">BRASIL. Ministério da Saúde. Secretaria de Vigilância em Saúde. Departamento de Vigilância das Doenças Transmissíveis. </w:t>
      </w:r>
      <w:r w:rsidRPr="001515D1">
        <w:rPr>
          <w:b/>
          <w:bCs/>
          <w:sz w:val="24"/>
          <w:szCs w:val="24"/>
        </w:rPr>
        <w:t>Manual de recomendações para diagnóstico, tratamento e acompanhamento de pacientes com a coinfecção leishmania-HIV</w:t>
      </w:r>
      <w:r w:rsidRPr="001515D1">
        <w:rPr>
          <w:sz w:val="24"/>
          <w:szCs w:val="24"/>
        </w:rPr>
        <w:t xml:space="preserve">. 1. ed., rev. e ampl. – Brasília: Ministério da Saúde, 2015. Disponível em: </w:t>
      </w:r>
      <w:hyperlink r:id="rId11">
        <w:r w:rsidRPr="001515D1">
          <w:rPr>
            <w:sz w:val="24"/>
            <w:szCs w:val="24"/>
          </w:rPr>
          <w:t>https://bvsms.saude.gov.br/bvs/publicacoes/manual_recomendacoes_diagnostico_leishmania_hiv.pdf</w:t>
        </w:r>
      </w:hyperlink>
      <w:r w:rsidRPr="001515D1">
        <w:rPr>
          <w:sz w:val="24"/>
          <w:szCs w:val="24"/>
        </w:rPr>
        <w:t xml:space="preserve"> Acesso: 30 de out. 2025</w:t>
      </w:r>
    </w:p>
    <w:p w14:paraId="19D903BB" w14:textId="77777777" w:rsidR="006F0E5A" w:rsidRPr="001515D1" w:rsidRDefault="006F0E5A" w:rsidP="00443909">
      <w:pPr>
        <w:spacing w:after="240"/>
        <w:rPr>
          <w:sz w:val="24"/>
          <w:szCs w:val="24"/>
        </w:rPr>
      </w:pPr>
      <w:r w:rsidRPr="001515D1">
        <w:rPr>
          <w:sz w:val="24"/>
          <w:szCs w:val="24"/>
        </w:rPr>
        <w:t xml:space="preserve">BRASIL. Ministério da Saúde. Secretaria de Vigilância em Saúde. Departamento de Vigilância Epidemiológica. </w:t>
      </w:r>
      <w:r w:rsidRPr="001515D1">
        <w:rPr>
          <w:b/>
          <w:bCs/>
          <w:sz w:val="24"/>
          <w:szCs w:val="24"/>
        </w:rPr>
        <w:t>Leishmaniose visceral : recomendações clínicas para redução da letalidade</w:t>
      </w:r>
      <w:r w:rsidRPr="001515D1">
        <w:rPr>
          <w:sz w:val="24"/>
          <w:szCs w:val="24"/>
        </w:rPr>
        <w:t xml:space="preserve"> / Ministério da Saúde. Secretaria de Vigilância em Saúde. Departamento de Vigilância Epidemiológica. – Brasília : Ministério da Saúde, 2011. Disponível em: </w:t>
      </w:r>
      <w:hyperlink r:id="rId12">
        <w:r w:rsidRPr="001515D1">
          <w:rPr>
            <w:sz w:val="24"/>
            <w:szCs w:val="24"/>
          </w:rPr>
          <w:t>https://www.gov.br/saude/pt-br/centrais-de-conteudo/publicacoes/svsa/leishmaniose-visceral/manual-de-leishmaniose-visceral-recomendacoes-clinicas-para-a-reducao-da-letalidade/view</w:t>
        </w:r>
      </w:hyperlink>
      <w:r w:rsidRPr="001515D1">
        <w:rPr>
          <w:sz w:val="24"/>
          <w:szCs w:val="24"/>
        </w:rPr>
        <w:t>. Acesso em: 30 de out. 2025.</w:t>
      </w:r>
    </w:p>
    <w:p w14:paraId="3570E04C" w14:textId="77777777" w:rsidR="006F0E5A" w:rsidRPr="001515D1" w:rsidRDefault="006F0E5A" w:rsidP="00443909">
      <w:pPr>
        <w:widowControl/>
        <w:tabs>
          <w:tab w:val="left" w:pos="1290"/>
        </w:tabs>
        <w:spacing w:after="240"/>
        <w:rPr>
          <w:sz w:val="24"/>
          <w:szCs w:val="24"/>
        </w:rPr>
      </w:pPr>
      <w:r w:rsidRPr="001515D1">
        <w:rPr>
          <w:sz w:val="24"/>
          <w:szCs w:val="24"/>
        </w:rPr>
        <w:t xml:space="preserve">CAMARGO, Luis Marcelo Aranha; BARCINSKI, Marcello André. Leishmanioses, feridas bravas e kalazar. </w:t>
      </w:r>
      <w:r w:rsidRPr="001515D1">
        <w:rPr>
          <w:b/>
          <w:bCs/>
          <w:sz w:val="24"/>
          <w:szCs w:val="24"/>
        </w:rPr>
        <w:t>Ciência e Cultura</w:t>
      </w:r>
      <w:r w:rsidRPr="001515D1">
        <w:rPr>
          <w:sz w:val="24"/>
          <w:szCs w:val="24"/>
        </w:rPr>
        <w:t xml:space="preserve">, v. 55, n. 1, p. 34-37, 2003. Disponível: </w:t>
      </w:r>
      <w:hyperlink r:id="rId13">
        <w:r w:rsidRPr="001515D1">
          <w:rPr>
            <w:sz w:val="24"/>
            <w:szCs w:val="24"/>
          </w:rPr>
          <w:t>http://cienciaecultura.bvs.br/pdf/cic/v55n1/14852.pdf</w:t>
        </w:r>
      </w:hyperlink>
      <w:r w:rsidRPr="001515D1">
        <w:rPr>
          <w:sz w:val="24"/>
          <w:szCs w:val="24"/>
        </w:rPr>
        <w:t xml:space="preserve"> Acesso em: 04 de nov de 2025</w:t>
      </w:r>
    </w:p>
    <w:p w14:paraId="46598266" w14:textId="77777777" w:rsidR="006F0E5A" w:rsidRPr="001515D1" w:rsidRDefault="006F0E5A" w:rsidP="00443909">
      <w:pPr>
        <w:spacing w:after="240"/>
        <w:rPr>
          <w:sz w:val="24"/>
          <w:szCs w:val="24"/>
        </w:rPr>
      </w:pPr>
      <w:r w:rsidRPr="001515D1">
        <w:rPr>
          <w:sz w:val="24"/>
          <w:szCs w:val="24"/>
        </w:rPr>
        <w:t xml:space="preserve">CORREIA, Ângela Valéria Guimarães de Miranda. </w:t>
      </w:r>
      <w:r w:rsidRPr="001515D1">
        <w:rPr>
          <w:b/>
          <w:bCs/>
          <w:sz w:val="24"/>
          <w:szCs w:val="24"/>
        </w:rPr>
        <w:t>Perfil clínico-epidemiológico da Leishmaniose visceral em Teresina-PI.</w:t>
      </w:r>
      <w:r w:rsidRPr="001515D1">
        <w:rPr>
          <w:sz w:val="24"/>
          <w:szCs w:val="24"/>
        </w:rPr>
        <w:t xml:space="preserve"> 2015. 88f. Dissertação (Mestrado em Medicina Tropical) - Fundação Oswaldo Cruz, Instituto Oswaldo Cruz, Rio de janeiro, RJ, 2015. Disponível em: </w:t>
      </w:r>
      <w:hyperlink r:id="rId14">
        <w:r w:rsidRPr="001515D1">
          <w:rPr>
            <w:sz w:val="24"/>
            <w:szCs w:val="24"/>
          </w:rPr>
          <w:t>https://www.arca.fiocruz.br/handle/icict/13944</w:t>
        </w:r>
      </w:hyperlink>
      <w:r w:rsidRPr="001515D1">
        <w:rPr>
          <w:sz w:val="24"/>
          <w:szCs w:val="24"/>
        </w:rPr>
        <w:t xml:space="preserve"> . Acesso em: 18 nov. 2025.</w:t>
      </w:r>
    </w:p>
    <w:p w14:paraId="72EC6522" w14:textId="77777777" w:rsidR="006F0E5A" w:rsidRPr="001515D1" w:rsidRDefault="006F0E5A" w:rsidP="00443909">
      <w:pPr>
        <w:spacing w:after="240"/>
        <w:rPr>
          <w:sz w:val="24"/>
          <w:szCs w:val="24"/>
        </w:rPr>
      </w:pPr>
      <w:r w:rsidRPr="001515D1">
        <w:rPr>
          <w:sz w:val="24"/>
          <w:szCs w:val="24"/>
        </w:rPr>
        <w:t>LIMA, Mayra de Castro Ferreira; MITTESTAINER, Joyce Cappa; ROCHA, Paula Barreto da; CARVALHO, Elisabeth Regina de; VEROTTI, Barbara do Prado; PELLICCIARI, Patricia Rosa; VICTORIA, Cassiano; LANGONI, Helio. PRINCIPAIS ZOONOSES EM PEQUENOS ANIMAIS: breve revisão. </w:t>
      </w:r>
      <w:r w:rsidRPr="001515D1">
        <w:rPr>
          <w:b/>
          <w:bCs/>
          <w:sz w:val="24"/>
          <w:szCs w:val="24"/>
        </w:rPr>
        <w:t>Veterinária e Zootecnia</w:t>
      </w:r>
      <w:r w:rsidRPr="001515D1">
        <w:rPr>
          <w:sz w:val="24"/>
          <w:szCs w:val="24"/>
        </w:rPr>
        <w:t>, [</w:t>
      </w:r>
      <w:r w:rsidRPr="001515D1">
        <w:rPr>
          <w:i/>
          <w:iCs/>
          <w:sz w:val="24"/>
          <w:szCs w:val="24"/>
        </w:rPr>
        <w:t>s. l</w:t>
      </w:r>
      <w:r w:rsidRPr="001515D1">
        <w:rPr>
          <w:sz w:val="24"/>
          <w:szCs w:val="24"/>
        </w:rPr>
        <w:t xml:space="preserve">], v. 24, n. 1, p. 84-106, 2017. Anual. Disponível em: </w:t>
      </w:r>
      <w:hyperlink r:id="rId15">
        <w:r w:rsidRPr="001515D1">
          <w:rPr>
            <w:sz w:val="24"/>
            <w:szCs w:val="24"/>
          </w:rPr>
          <w:t>https://www.bvs-vet.org.br/vetindex/periodicos/veterinaria-e-zootecnia/24-(2017)-1/principais-zoonoses-em-pequenos-animais-breve-revisao/</w:t>
        </w:r>
      </w:hyperlink>
      <w:r w:rsidRPr="001515D1">
        <w:rPr>
          <w:sz w:val="24"/>
          <w:szCs w:val="24"/>
        </w:rPr>
        <w:t>.  Acesso em: 22 de out. 2025.</w:t>
      </w:r>
    </w:p>
    <w:p w14:paraId="71F0C0A2" w14:textId="77777777" w:rsidR="006F0E5A" w:rsidRPr="001515D1" w:rsidRDefault="006F0E5A" w:rsidP="00443909">
      <w:pPr>
        <w:widowControl/>
        <w:tabs>
          <w:tab w:val="left" w:pos="1290"/>
        </w:tabs>
        <w:spacing w:after="240"/>
        <w:rPr>
          <w:sz w:val="24"/>
          <w:szCs w:val="24"/>
        </w:rPr>
      </w:pPr>
      <w:r w:rsidRPr="001515D1">
        <w:rPr>
          <w:sz w:val="24"/>
          <w:szCs w:val="24"/>
        </w:rPr>
        <w:t>LIMA, R</w:t>
      </w:r>
      <w:r w:rsidR="000222CC" w:rsidRPr="001515D1">
        <w:rPr>
          <w:sz w:val="24"/>
          <w:szCs w:val="24"/>
        </w:rPr>
        <w:t xml:space="preserve">icardo </w:t>
      </w:r>
      <w:r w:rsidRPr="001515D1">
        <w:rPr>
          <w:sz w:val="24"/>
          <w:szCs w:val="24"/>
        </w:rPr>
        <w:t>G</w:t>
      </w:r>
      <w:r w:rsidR="000222CC" w:rsidRPr="001515D1">
        <w:rPr>
          <w:sz w:val="24"/>
          <w:szCs w:val="24"/>
        </w:rPr>
        <w:t>ois</w:t>
      </w:r>
      <w:r w:rsidRPr="001515D1">
        <w:rPr>
          <w:sz w:val="24"/>
          <w:szCs w:val="24"/>
        </w:rPr>
        <w:t xml:space="preserve"> de; M</w:t>
      </w:r>
      <w:r w:rsidR="0014141C" w:rsidRPr="001515D1">
        <w:rPr>
          <w:sz w:val="24"/>
          <w:szCs w:val="24"/>
        </w:rPr>
        <w:t>ENDONÇA</w:t>
      </w:r>
      <w:r w:rsidR="000222CC" w:rsidRPr="001515D1">
        <w:rPr>
          <w:sz w:val="24"/>
          <w:szCs w:val="24"/>
        </w:rPr>
        <w:t xml:space="preserve"> </w:t>
      </w:r>
      <w:r w:rsidRPr="001515D1">
        <w:rPr>
          <w:sz w:val="24"/>
          <w:szCs w:val="24"/>
        </w:rPr>
        <w:t>T</w:t>
      </w:r>
      <w:r w:rsidR="000222CC" w:rsidRPr="001515D1">
        <w:rPr>
          <w:sz w:val="24"/>
          <w:szCs w:val="24"/>
        </w:rPr>
        <w:t xml:space="preserve">aiane Menezes; </w:t>
      </w:r>
      <w:r w:rsidRPr="001515D1">
        <w:rPr>
          <w:sz w:val="24"/>
          <w:szCs w:val="24"/>
        </w:rPr>
        <w:t>M</w:t>
      </w:r>
      <w:r w:rsidR="0014141C" w:rsidRPr="001515D1">
        <w:rPr>
          <w:sz w:val="24"/>
          <w:szCs w:val="24"/>
        </w:rPr>
        <w:t xml:space="preserve">ENDES, </w:t>
      </w:r>
      <w:r w:rsidRPr="001515D1">
        <w:rPr>
          <w:sz w:val="24"/>
          <w:szCs w:val="24"/>
        </w:rPr>
        <w:t>T</w:t>
      </w:r>
      <w:r w:rsidR="0014141C" w:rsidRPr="001515D1">
        <w:rPr>
          <w:sz w:val="24"/>
          <w:szCs w:val="24"/>
        </w:rPr>
        <w:t>iago</w:t>
      </w:r>
      <w:r w:rsidRPr="001515D1">
        <w:rPr>
          <w:sz w:val="24"/>
          <w:szCs w:val="24"/>
        </w:rPr>
        <w:t xml:space="preserve"> da S</w:t>
      </w:r>
      <w:r w:rsidR="0014141C" w:rsidRPr="001515D1">
        <w:rPr>
          <w:sz w:val="24"/>
          <w:szCs w:val="24"/>
        </w:rPr>
        <w:t>ilva</w:t>
      </w:r>
      <w:r w:rsidRPr="001515D1">
        <w:rPr>
          <w:sz w:val="24"/>
          <w:szCs w:val="24"/>
        </w:rPr>
        <w:t>; M</w:t>
      </w:r>
      <w:r w:rsidR="0014141C" w:rsidRPr="001515D1">
        <w:rPr>
          <w:sz w:val="24"/>
          <w:szCs w:val="24"/>
        </w:rPr>
        <w:t>ENEZES,</w:t>
      </w:r>
      <w:r w:rsidRPr="001515D1">
        <w:rPr>
          <w:sz w:val="24"/>
          <w:szCs w:val="24"/>
        </w:rPr>
        <w:t xml:space="preserve"> M</w:t>
      </w:r>
      <w:r w:rsidR="0014141C" w:rsidRPr="001515D1">
        <w:rPr>
          <w:sz w:val="24"/>
          <w:szCs w:val="24"/>
        </w:rPr>
        <w:t xml:space="preserve">arcos </w:t>
      </w:r>
      <w:r w:rsidRPr="001515D1">
        <w:rPr>
          <w:sz w:val="24"/>
          <w:szCs w:val="24"/>
        </w:rPr>
        <w:t>V</w:t>
      </w:r>
      <w:r w:rsidR="0014141C" w:rsidRPr="001515D1">
        <w:rPr>
          <w:sz w:val="24"/>
          <w:szCs w:val="24"/>
        </w:rPr>
        <w:t>inícuis Costa.</w:t>
      </w:r>
      <w:r w:rsidRPr="001515D1">
        <w:rPr>
          <w:sz w:val="24"/>
          <w:szCs w:val="24"/>
        </w:rPr>
        <w:t xml:space="preserve"> Perfil epidemiológico da leishmaniose visceral no Brasil, no período de 2010 a 2019. </w:t>
      </w:r>
      <w:r w:rsidRPr="001515D1">
        <w:rPr>
          <w:b/>
          <w:bCs/>
          <w:sz w:val="24"/>
          <w:szCs w:val="24"/>
        </w:rPr>
        <w:t>Revista Eletrônica Acervo Saúde</w:t>
      </w:r>
      <w:r w:rsidRPr="001515D1">
        <w:rPr>
          <w:sz w:val="24"/>
          <w:szCs w:val="24"/>
        </w:rPr>
        <w:t>, v. 13, n. 4, p. e6931, 13 abr. 2021.</w:t>
      </w:r>
      <w:r w:rsidR="0014141C" w:rsidRPr="001515D1">
        <w:rPr>
          <w:sz w:val="24"/>
          <w:szCs w:val="24"/>
        </w:rPr>
        <w:t xml:space="preserve"> Disponível em: </w:t>
      </w:r>
      <w:hyperlink r:id="rId16" w:history="1">
        <w:r w:rsidR="0014141C" w:rsidRPr="001515D1">
          <w:rPr>
            <w:rStyle w:val="Hyperlink"/>
            <w:color w:val="auto"/>
            <w:sz w:val="24"/>
            <w:szCs w:val="24"/>
            <w:u w:val="none"/>
          </w:rPr>
          <w:t>https://acervomais.com.br/index.php/saude/article/view/6931</w:t>
        </w:r>
      </w:hyperlink>
      <w:r w:rsidR="0014141C" w:rsidRPr="001515D1">
        <w:rPr>
          <w:sz w:val="24"/>
          <w:szCs w:val="24"/>
        </w:rPr>
        <w:t>. Acesso em: 14 nov. 2025</w:t>
      </w:r>
    </w:p>
    <w:p w14:paraId="3C1B0DA6" w14:textId="77777777" w:rsidR="006F0E5A" w:rsidRPr="001515D1" w:rsidRDefault="006F0E5A" w:rsidP="00443909">
      <w:pPr>
        <w:widowControl/>
        <w:tabs>
          <w:tab w:val="left" w:pos="1290"/>
        </w:tabs>
        <w:spacing w:after="240"/>
        <w:rPr>
          <w:sz w:val="24"/>
          <w:szCs w:val="24"/>
        </w:rPr>
      </w:pPr>
      <w:r w:rsidRPr="001515D1">
        <w:rPr>
          <w:sz w:val="24"/>
          <w:szCs w:val="24"/>
        </w:rPr>
        <w:t xml:space="preserve">MIRANDA, Claudia do Socorro Carvalho; BONITO, Jorge; OLIVEIRA, Rafael Aleixo Coelho de; GUEDES, Juan Andrade; SANTOS, Conceição; OLIVEIRA, João Sérgio de Sousa; FILGUEIRAS, Tainara Garcia; OLIVEIRA, Francisco de Assis; FILGUEIRAS, Tainã </w:t>
      </w:r>
      <w:r w:rsidRPr="001515D1">
        <w:rPr>
          <w:sz w:val="24"/>
          <w:szCs w:val="24"/>
        </w:rPr>
        <w:lastRenderedPageBreak/>
        <w:t xml:space="preserve">Garcia; GONÇALVES, Nelson Veiga. </w:t>
      </w:r>
      <w:r w:rsidRPr="001515D1">
        <w:rPr>
          <w:sz w:val="24"/>
          <w:szCs w:val="24"/>
          <w:lang w:val="en-CA"/>
        </w:rPr>
        <w:t>Spatial distribution of human visceral leishmaniasis cases in Cametá, Pará, Eastern Amazon, Brazil. </w:t>
      </w:r>
      <w:r w:rsidRPr="001515D1">
        <w:rPr>
          <w:b/>
          <w:bCs/>
          <w:sz w:val="24"/>
          <w:szCs w:val="24"/>
        </w:rPr>
        <w:t>Revista da Sociedade Brasileira de Medicina Tropical</w:t>
      </w:r>
      <w:r w:rsidRPr="001515D1">
        <w:rPr>
          <w:sz w:val="24"/>
          <w:szCs w:val="24"/>
        </w:rPr>
        <w:t>, [</w:t>
      </w:r>
      <w:r w:rsidRPr="001515D1">
        <w:rPr>
          <w:i/>
          <w:iCs/>
          <w:sz w:val="24"/>
          <w:szCs w:val="24"/>
        </w:rPr>
        <w:t>S.I</w:t>
      </w:r>
      <w:r w:rsidRPr="001515D1">
        <w:rPr>
          <w:sz w:val="24"/>
          <w:szCs w:val="24"/>
        </w:rPr>
        <w:t xml:space="preserve">.], v. 54, p. 01-05, set. 2021. Mensal. Disponível em:  </w:t>
      </w:r>
      <w:hyperlink r:id="rId17" w:history="1">
        <w:r w:rsidR="00443909" w:rsidRPr="001515D1">
          <w:rPr>
            <w:rStyle w:val="Hyperlink"/>
            <w:color w:val="auto"/>
            <w:sz w:val="24"/>
            <w:szCs w:val="24"/>
            <w:u w:val="none"/>
          </w:rPr>
          <w:t>http://dx.doi.org/10.1590/0037-8682-0220-2021</w:t>
        </w:r>
      </w:hyperlink>
      <w:r w:rsidRPr="001515D1">
        <w:rPr>
          <w:sz w:val="24"/>
          <w:szCs w:val="24"/>
        </w:rPr>
        <w:t>.</w:t>
      </w:r>
      <w:r w:rsidR="00443909" w:rsidRPr="001515D1">
        <w:rPr>
          <w:sz w:val="24"/>
          <w:szCs w:val="24"/>
        </w:rPr>
        <w:t xml:space="preserve"> </w:t>
      </w:r>
      <w:r w:rsidRPr="001515D1">
        <w:rPr>
          <w:sz w:val="24"/>
          <w:szCs w:val="24"/>
        </w:rPr>
        <w:t>Acesso em: 23 jul. 202</w:t>
      </w:r>
      <w:r w:rsidR="0014141C" w:rsidRPr="001515D1">
        <w:rPr>
          <w:sz w:val="24"/>
          <w:szCs w:val="24"/>
        </w:rPr>
        <w:t>5</w:t>
      </w:r>
    </w:p>
    <w:p w14:paraId="74E76A73" w14:textId="77777777" w:rsidR="006F0E5A" w:rsidRPr="001515D1" w:rsidRDefault="006F0E5A" w:rsidP="00443909">
      <w:pPr>
        <w:spacing w:after="240"/>
        <w:rPr>
          <w:sz w:val="24"/>
          <w:szCs w:val="24"/>
        </w:rPr>
      </w:pPr>
      <w:r w:rsidRPr="001515D1">
        <w:rPr>
          <w:sz w:val="24"/>
          <w:szCs w:val="24"/>
        </w:rPr>
        <w:t>OLIVEIRA Emília Nascimento, PIMENTA, Adriano Marçal. Perfil epidemiológico das pessoas portadoras de leishmaniose visceral no município de Paracatu – MG no período de 2007 a 2010. Revista Mineira de Enfermagem, 2014; 18(2): 365-370.</w:t>
      </w:r>
    </w:p>
    <w:p w14:paraId="6CEBB31D" w14:textId="77777777" w:rsidR="006F0E5A" w:rsidRPr="001515D1" w:rsidRDefault="006F0E5A" w:rsidP="00443909">
      <w:pPr>
        <w:widowControl/>
        <w:tabs>
          <w:tab w:val="left" w:pos="1290"/>
        </w:tabs>
        <w:spacing w:after="240"/>
        <w:rPr>
          <w:sz w:val="24"/>
          <w:szCs w:val="24"/>
        </w:rPr>
      </w:pPr>
      <w:r w:rsidRPr="001515D1">
        <w:rPr>
          <w:sz w:val="24"/>
          <w:szCs w:val="24"/>
        </w:rPr>
        <w:t>PAZ, J. da S.; CARNEIRO PINHEIRO, A. Q. .; LOPES RIBEIRO, R. .; LUCENA MARTINS FERREIRA , J.; PINHO DA SILVA , L. . Epidemiologia da Leishmaniose Visceral no Ceará entre 2011 e 2018. </w:t>
      </w:r>
      <w:r w:rsidRPr="001515D1">
        <w:rPr>
          <w:b/>
          <w:bCs/>
          <w:sz w:val="24"/>
          <w:szCs w:val="24"/>
        </w:rPr>
        <w:t>Cadernos ESP</w:t>
      </w:r>
      <w:r w:rsidRPr="001515D1">
        <w:rPr>
          <w:sz w:val="24"/>
          <w:szCs w:val="24"/>
        </w:rPr>
        <w:t xml:space="preserve">, Fortaleza-CE, Brasil, v. 15, n. 1, p. 23–32, 2021. Disponível em: </w:t>
      </w:r>
      <w:hyperlink r:id="rId18" w:history="1">
        <w:r w:rsidR="00E83744" w:rsidRPr="001515D1">
          <w:rPr>
            <w:rStyle w:val="Hyperlink"/>
            <w:color w:val="auto"/>
            <w:sz w:val="24"/>
            <w:szCs w:val="24"/>
            <w:u w:val="none"/>
          </w:rPr>
          <w:t>https://cadernos.esp.ce.gov.br/index.php/cadernos/article/view/450</w:t>
        </w:r>
      </w:hyperlink>
      <w:r w:rsidRPr="001515D1">
        <w:rPr>
          <w:sz w:val="24"/>
          <w:szCs w:val="24"/>
        </w:rPr>
        <w:t>.</w:t>
      </w:r>
      <w:r w:rsidR="00E83744" w:rsidRPr="001515D1">
        <w:rPr>
          <w:sz w:val="24"/>
          <w:szCs w:val="24"/>
        </w:rPr>
        <w:t xml:space="preserve"> </w:t>
      </w:r>
      <w:r w:rsidRPr="001515D1">
        <w:rPr>
          <w:sz w:val="24"/>
          <w:szCs w:val="24"/>
        </w:rPr>
        <w:t>Acesso em: 15 out. 2025.</w:t>
      </w:r>
    </w:p>
    <w:p w14:paraId="29434AC2" w14:textId="77777777" w:rsidR="006F0E5A" w:rsidRPr="001515D1" w:rsidRDefault="006F0E5A" w:rsidP="00443909">
      <w:pPr>
        <w:widowControl/>
        <w:tabs>
          <w:tab w:val="left" w:pos="1290"/>
        </w:tabs>
        <w:spacing w:after="240"/>
        <w:rPr>
          <w:sz w:val="24"/>
          <w:szCs w:val="24"/>
        </w:rPr>
      </w:pPr>
      <w:r w:rsidRPr="001515D1">
        <w:rPr>
          <w:sz w:val="24"/>
          <w:szCs w:val="24"/>
        </w:rPr>
        <w:t>PINTO, Ana Beatriz Dantas </w:t>
      </w:r>
      <w:r w:rsidRPr="001515D1">
        <w:rPr>
          <w:i/>
          <w:iCs/>
          <w:sz w:val="24"/>
          <w:szCs w:val="24"/>
        </w:rPr>
        <w:t>et al</w:t>
      </w:r>
      <w:r w:rsidRPr="001515D1">
        <w:rPr>
          <w:sz w:val="24"/>
          <w:szCs w:val="24"/>
        </w:rPr>
        <w:t>. Aspectos epidemiológicos e distribuição espacial da leishmaniose visceral humana: estudo transversal, crateús, 2007-2023. </w:t>
      </w:r>
      <w:r w:rsidRPr="001515D1">
        <w:rPr>
          <w:b/>
          <w:bCs/>
          <w:sz w:val="24"/>
          <w:szCs w:val="24"/>
        </w:rPr>
        <w:t>Epidemiologia e Serviços de Saúde</w:t>
      </w:r>
      <w:r w:rsidRPr="001515D1">
        <w:rPr>
          <w:sz w:val="24"/>
          <w:szCs w:val="24"/>
        </w:rPr>
        <w:t xml:space="preserve">, [S.L.], v. 34, p. 1-10, 25 maio 2025. FapUNIFESP (SciELO). http://dx.doi.org/10.1590/s2237-96222025v34e20250155.pt. Disponível em: </w:t>
      </w:r>
      <w:hyperlink r:id="rId19" w:history="1">
        <w:r w:rsidR="00E83744" w:rsidRPr="001515D1">
          <w:rPr>
            <w:rStyle w:val="Hyperlink"/>
            <w:color w:val="auto"/>
            <w:sz w:val="24"/>
            <w:szCs w:val="24"/>
            <w:u w:val="none"/>
          </w:rPr>
          <w:t>https://www.scielo.br/j/ress/a/TNK5dgynLbLDbpSSTPr6TMm/?format=pdf&amp;lang=pt</w:t>
        </w:r>
      </w:hyperlink>
      <w:r w:rsidRPr="001515D1">
        <w:rPr>
          <w:sz w:val="24"/>
          <w:szCs w:val="24"/>
        </w:rPr>
        <w:t>.</w:t>
      </w:r>
      <w:r w:rsidR="00E83744" w:rsidRPr="001515D1">
        <w:rPr>
          <w:sz w:val="24"/>
          <w:szCs w:val="24"/>
        </w:rPr>
        <w:t xml:space="preserve"> </w:t>
      </w:r>
      <w:r w:rsidRPr="001515D1">
        <w:rPr>
          <w:sz w:val="24"/>
          <w:szCs w:val="24"/>
        </w:rPr>
        <w:t>Acesso em: 28 out. 2024.</w:t>
      </w:r>
    </w:p>
    <w:p w14:paraId="1597CB9F" w14:textId="77777777" w:rsidR="006F0E5A" w:rsidRPr="001515D1" w:rsidRDefault="006F0E5A" w:rsidP="00443909">
      <w:pPr>
        <w:spacing w:after="240"/>
        <w:rPr>
          <w:sz w:val="24"/>
          <w:szCs w:val="24"/>
        </w:rPr>
      </w:pPr>
      <w:r w:rsidRPr="001515D1">
        <w:rPr>
          <w:sz w:val="24"/>
          <w:szCs w:val="24"/>
        </w:rPr>
        <w:t>REY, Luis. </w:t>
      </w:r>
      <w:r w:rsidRPr="001515D1">
        <w:rPr>
          <w:b/>
          <w:bCs/>
          <w:sz w:val="24"/>
          <w:szCs w:val="24"/>
        </w:rPr>
        <w:t>Parasitologia, 4ª ed</w:t>
      </w:r>
      <w:r w:rsidRPr="001515D1">
        <w:rPr>
          <w:sz w:val="24"/>
          <w:szCs w:val="24"/>
        </w:rPr>
        <w:t>. Rio de Janeiro: Guanabara Koogan, 2008. </w:t>
      </w:r>
    </w:p>
    <w:p w14:paraId="7B6B4FC0" w14:textId="77777777" w:rsidR="006F0E5A" w:rsidRPr="001515D1" w:rsidRDefault="006F0E5A" w:rsidP="00443909">
      <w:pPr>
        <w:widowControl/>
        <w:tabs>
          <w:tab w:val="left" w:pos="1290"/>
        </w:tabs>
        <w:spacing w:after="240"/>
        <w:rPr>
          <w:sz w:val="24"/>
          <w:szCs w:val="24"/>
        </w:rPr>
      </w:pPr>
      <w:r w:rsidRPr="001515D1">
        <w:rPr>
          <w:sz w:val="24"/>
          <w:szCs w:val="24"/>
        </w:rPr>
        <w:t>ROCHA, Amanda; OLIVEIRA, Edivaldo de. ANÁLISE DO PERFIL EPIDEMIOLÓGICO DE PACIENTES PEDIÁTRICOS DE LEISHMANIOSE VISCERAL DO PARÁ (BRAZIL). </w:t>
      </w:r>
      <w:r w:rsidRPr="001515D1">
        <w:rPr>
          <w:b/>
          <w:bCs/>
          <w:sz w:val="24"/>
          <w:szCs w:val="24"/>
        </w:rPr>
        <w:t>Interfaces Científicas - Saúde e Ambiente</w:t>
      </w:r>
      <w:r w:rsidRPr="001515D1">
        <w:rPr>
          <w:sz w:val="24"/>
          <w:szCs w:val="24"/>
        </w:rPr>
        <w:t>, </w:t>
      </w:r>
      <w:r w:rsidRPr="001515D1">
        <w:rPr>
          <w:i/>
          <w:iCs/>
          <w:sz w:val="24"/>
          <w:szCs w:val="24"/>
        </w:rPr>
        <w:t>[S. l.]</w:t>
      </w:r>
      <w:r w:rsidRPr="001515D1">
        <w:rPr>
          <w:sz w:val="24"/>
          <w:szCs w:val="24"/>
        </w:rPr>
        <w:t xml:space="preserve">, v. 8, n. 3, p. 348–360, 2021. DOI: 10.17564/2316-3798.2021v8n3p348-360. Disponível em: </w:t>
      </w:r>
      <w:hyperlink r:id="rId20" w:history="1">
        <w:r w:rsidR="00E83744" w:rsidRPr="001515D1">
          <w:rPr>
            <w:rStyle w:val="Hyperlink"/>
            <w:color w:val="auto"/>
            <w:sz w:val="24"/>
            <w:szCs w:val="24"/>
            <w:u w:val="none"/>
          </w:rPr>
          <w:t>https://periodicos.set.edu.br/saude/article/view/9744</w:t>
        </w:r>
      </w:hyperlink>
      <w:r w:rsidRPr="001515D1">
        <w:rPr>
          <w:sz w:val="24"/>
          <w:szCs w:val="24"/>
        </w:rPr>
        <w:t>.</w:t>
      </w:r>
      <w:r w:rsidR="00E83744" w:rsidRPr="001515D1">
        <w:rPr>
          <w:sz w:val="24"/>
          <w:szCs w:val="24"/>
        </w:rPr>
        <w:t xml:space="preserve"> </w:t>
      </w:r>
      <w:r w:rsidRPr="001515D1">
        <w:rPr>
          <w:sz w:val="24"/>
          <w:szCs w:val="24"/>
        </w:rPr>
        <w:t>Acesso em: 17 out. 2025.</w:t>
      </w:r>
    </w:p>
    <w:p w14:paraId="5EDF7368" w14:textId="77777777" w:rsidR="000222CC" w:rsidRPr="001515D1" w:rsidRDefault="006F0E5A" w:rsidP="00443909">
      <w:pPr>
        <w:spacing w:after="240"/>
        <w:rPr>
          <w:sz w:val="24"/>
          <w:szCs w:val="24"/>
        </w:rPr>
      </w:pPr>
      <w:r w:rsidRPr="001515D1">
        <w:rPr>
          <w:sz w:val="24"/>
          <w:szCs w:val="24"/>
        </w:rPr>
        <w:t>SOARES, Jorgana Fernanda de Souza. Módulo Teórico 5: Medidas de Frequência em Epidemiologia. In: Brasil. Ministério da Saúde. Curso de Atualização para Análise de Situação de Saúde do Trabalhador -ASST aplicada aos serviços de saúde [recurso eletrônico] / Ministério da Saúde, Universidade Federal da Bahia. – Brasília: Ministério da Saúde, pp. 1-26, 2021</w:t>
      </w:r>
      <w:r w:rsidR="000222CC" w:rsidRPr="001515D1">
        <w:rPr>
          <w:sz w:val="24"/>
          <w:szCs w:val="24"/>
        </w:rPr>
        <w:t>.</w:t>
      </w:r>
    </w:p>
    <w:p w14:paraId="4DFBBFAA" w14:textId="4DF4B21A" w:rsidR="00AD106B" w:rsidRPr="001515D1" w:rsidRDefault="006F0E5A" w:rsidP="00443909">
      <w:pPr>
        <w:spacing w:after="240"/>
        <w:rPr>
          <w:sz w:val="24"/>
          <w:szCs w:val="24"/>
        </w:rPr>
      </w:pPr>
      <w:r w:rsidRPr="001515D1">
        <w:rPr>
          <w:sz w:val="24"/>
          <w:szCs w:val="24"/>
        </w:rPr>
        <w:t>SOUSA, Cyntia Meneses de Sá; MASCARENHAS, Márcio Dênis Medeiros; LIMA, Patrícia Viana Carvalhedo; RODRIGUES, Malvina Thaís Pacheco. Incompletude do preenchimento das notificações compulsórias de violência - Brasil, 2011-2014. </w:t>
      </w:r>
      <w:r w:rsidRPr="001515D1">
        <w:rPr>
          <w:b/>
          <w:bCs/>
          <w:sz w:val="24"/>
          <w:szCs w:val="24"/>
        </w:rPr>
        <w:t>Cadernos Saúde Coletiva</w:t>
      </w:r>
      <w:r w:rsidRPr="001515D1">
        <w:rPr>
          <w:sz w:val="24"/>
          <w:szCs w:val="24"/>
        </w:rPr>
        <w:t xml:space="preserve">, [S.L.], v. 28, n. 4, p. 477-487, dez. 2020. FapUNIFESP (SciELO). http://dx.doi.org/10.1590/1414-462x202028040139. Disponível em: </w:t>
      </w:r>
      <w:hyperlink r:id="rId21" w:history="1">
        <w:r w:rsidR="00E83744" w:rsidRPr="001515D1">
          <w:rPr>
            <w:rStyle w:val="Hyperlink"/>
            <w:color w:val="auto"/>
            <w:sz w:val="24"/>
            <w:szCs w:val="24"/>
            <w:u w:val="none"/>
          </w:rPr>
          <w:t>https://www.scielo.br/j/cadsc/a/VXDRVF4cfrFKwk7rLNS3YTt/?format=pdf&amp;lang=pt</w:t>
        </w:r>
      </w:hyperlink>
      <w:r w:rsidRPr="001515D1">
        <w:rPr>
          <w:sz w:val="24"/>
          <w:szCs w:val="24"/>
        </w:rPr>
        <w:t>.</w:t>
      </w:r>
      <w:r w:rsidR="00E83744" w:rsidRPr="001515D1">
        <w:rPr>
          <w:sz w:val="24"/>
          <w:szCs w:val="24"/>
        </w:rPr>
        <w:t xml:space="preserve"> </w:t>
      </w:r>
      <w:r w:rsidRPr="001515D1">
        <w:rPr>
          <w:sz w:val="24"/>
          <w:szCs w:val="24"/>
        </w:rPr>
        <w:t>Acesso em: 25 out. 2025.</w:t>
      </w:r>
    </w:p>
    <w:sectPr w:rsidR="00AD106B" w:rsidRPr="001515D1">
      <w:headerReference w:type="default" r:id="rId22"/>
      <w:footerReference w:type="default" r:id="rId23"/>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6ED3E" w14:textId="77777777" w:rsidR="00FC5C45" w:rsidRDefault="00FC5C45">
      <w:r>
        <w:separator/>
      </w:r>
    </w:p>
  </w:endnote>
  <w:endnote w:type="continuationSeparator" w:id="0">
    <w:p w14:paraId="1AFC1904" w14:textId="77777777" w:rsidR="00FC5C45" w:rsidRDefault="00FC5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3DE4F1F-7F9E-4C28-AE94-6CBBD60DA522}"/>
  </w:font>
  <w:font w:name="Calibri">
    <w:panose1 w:val="020F0502020204030204"/>
    <w:charset w:val="00"/>
    <w:family w:val="swiss"/>
    <w:pitch w:val="variable"/>
    <w:sig w:usb0="E4002EFF" w:usb1="C000247B" w:usb2="00000009" w:usb3="00000000" w:csb0="000001FF" w:csb1="00000000"/>
    <w:embedRegular r:id="rId2" w:fontKey="{AE8B1544-D06D-4257-B1A5-44FB4A2E6569}"/>
  </w:font>
  <w:font w:name="Cambria">
    <w:panose1 w:val="02040503050406030204"/>
    <w:charset w:val="00"/>
    <w:family w:val="roman"/>
    <w:pitch w:val="variable"/>
    <w:sig w:usb0="E00006FF" w:usb1="420024FF" w:usb2="02000000" w:usb3="00000000" w:csb0="0000019F" w:csb1="00000000"/>
    <w:embedRegular r:id="rId3" w:fontKey="{BCCFF928-4291-4184-A390-923258866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1F7C" w14:textId="77777777" w:rsidR="008D222F"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9ED2361" wp14:editId="59730672">
          <wp:simplePos x="0" y="0"/>
          <wp:positionH relativeFrom="column">
            <wp:posOffset>2</wp:posOffset>
          </wp:positionH>
          <wp:positionV relativeFrom="paragraph">
            <wp:posOffset>6350</wp:posOffset>
          </wp:positionV>
          <wp:extent cx="600075" cy="191770"/>
          <wp:effectExtent l="0" t="0" r="0" b="0"/>
          <wp:wrapSquare wrapText="bothSides"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CB24D3" wp14:editId="08506B3A">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02E48DF" wp14:editId="5AAE3A59">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9015008" wp14:editId="72682BBA">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1628332" wp14:editId="5B4FDC1F">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1BC6BA1" wp14:editId="5479B536">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F23E5" w14:textId="77777777" w:rsidR="00FC5C45" w:rsidRDefault="00FC5C45">
      <w:r>
        <w:separator/>
      </w:r>
    </w:p>
  </w:footnote>
  <w:footnote w:type="continuationSeparator" w:id="0">
    <w:p w14:paraId="6A99ECBF" w14:textId="77777777" w:rsidR="00FC5C45" w:rsidRDefault="00FC5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D994" w14:textId="77777777" w:rsidR="008D222F"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58DBEE8D" wp14:editId="085B843F">
          <wp:extent cx="3253105" cy="1610360"/>
          <wp:effectExtent l="0" t="0" r="0" b="0"/>
          <wp:docPr id="16" name="image3.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22F"/>
    <w:rsid w:val="00003AE5"/>
    <w:rsid w:val="000222CC"/>
    <w:rsid w:val="00056BB3"/>
    <w:rsid w:val="000A51D3"/>
    <w:rsid w:val="000A5499"/>
    <w:rsid w:val="0014141C"/>
    <w:rsid w:val="001515D1"/>
    <w:rsid w:val="001C07D1"/>
    <w:rsid w:val="003303B5"/>
    <w:rsid w:val="00343328"/>
    <w:rsid w:val="0037679D"/>
    <w:rsid w:val="003A3102"/>
    <w:rsid w:val="003F12DC"/>
    <w:rsid w:val="00443909"/>
    <w:rsid w:val="004809BF"/>
    <w:rsid w:val="004962D7"/>
    <w:rsid w:val="004E4556"/>
    <w:rsid w:val="00504DE7"/>
    <w:rsid w:val="00530574"/>
    <w:rsid w:val="005B0E9D"/>
    <w:rsid w:val="005E47C8"/>
    <w:rsid w:val="00635ABB"/>
    <w:rsid w:val="006F03F1"/>
    <w:rsid w:val="006F0E5A"/>
    <w:rsid w:val="007151EF"/>
    <w:rsid w:val="00745707"/>
    <w:rsid w:val="00753EB9"/>
    <w:rsid w:val="00794E9C"/>
    <w:rsid w:val="007C0B7F"/>
    <w:rsid w:val="00856968"/>
    <w:rsid w:val="008907E7"/>
    <w:rsid w:val="008C2C8D"/>
    <w:rsid w:val="008D222F"/>
    <w:rsid w:val="008D272D"/>
    <w:rsid w:val="00977295"/>
    <w:rsid w:val="009A1911"/>
    <w:rsid w:val="009D1D57"/>
    <w:rsid w:val="00AC37F2"/>
    <w:rsid w:val="00AD106B"/>
    <w:rsid w:val="00B7641A"/>
    <w:rsid w:val="00B9254A"/>
    <w:rsid w:val="00C23E30"/>
    <w:rsid w:val="00CA27EA"/>
    <w:rsid w:val="00CF6E2E"/>
    <w:rsid w:val="00D2004A"/>
    <w:rsid w:val="00D22915"/>
    <w:rsid w:val="00D44D88"/>
    <w:rsid w:val="00E61AFF"/>
    <w:rsid w:val="00E83744"/>
    <w:rsid w:val="00FC5C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BD487"/>
  <w15:docId w15:val="{F52302AD-1D47-4478-BADF-898BF798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AC37F2"/>
    <w:rPr>
      <w:color w:val="0000FF" w:themeColor="hyperlink"/>
      <w:u w:val="single"/>
    </w:rPr>
  </w:style>
  <w:style w:type="character" w:styleId="MenoPendente">
    <w:name w:val="Unresolved Mention"/>
    <w:basedOn w:val="Fontepargpadro"/>
    <w:uiPriority w:val="99"/>
    <w:semiHidden/>
    <w:unhideWhenUsed/>
    <w:rsid w:val="00AC3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cienciaecultura.bvs.br/pdf/cic/v55n1/14852.pdf" TargetMode="External"/><Relationship Id="rId18" Type="http://schemas.openxmlformats.org/officeDocument/2006/relationships/hyperlink" Target="https://cadernos.esp.ce.gov.br/index.php/cadernos/article/view/450" TargetMode="External"/><Relationship Id="rId3" Type="http://schemas.openxmlformats.org/officeDocument/2006/relationships/settings" Target="settings.xml"/><Relationship Id="rId21" Type="http://schemas.openxmlformats.org/officeDocument/2006/relationships/hyperlink" Target="https://www.scielo.br/j/cadsc/a/VXDRVF4cfrFKwk7rLNS3YTt/?format=pdf&amp;lang=pt" TargetMode="External"/><Relationship Id="rId7" Type="http://schemas.openxmlformats.org/officeDocument/2006/relationships/chart" Target="charts/chart1.xml"/><Relationship Id="rId12" Type="http://schemas.openxmlformats.org/officeDocument/2006/relationships/hyperlink" Target="https://www.gov.br/saude/pt-br/centrais-de-conteudo/publicacoes/svsa/leishmaniose-visceral/manual-de-leishmaniose-visceral-recomendacoes-clinicas-para-a-reducao-da-letalidade/view" TargetMode="External"/><Relationship Id="rId17" Type="http://schemas.openxmlformats.org/officeDocument/2006/relationships/hyperlink" Target="http://dx.doi.org/10.1590/0037-8682-0220-202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cervomais.com.br/index.php/saude/article/view/6931" TargetMode="External"/><Relationship Id="rId20" Type="http://schemas.openxmlformats.org/officeDocument/2006/relationships/hyperlink" Target="https://periodicos.set.edu.br/saude/article/view/974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vsms.saude.gov.br/bvs/publicacoes/manual_recomendacoes_diagnostico_leishmania_hiv.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vs-vet.org.br/vetindex/periodicos/veterinaria-e-zootecnia/24-(2017)-1/principais-zoonoses-em-pequenos-animais-breve-revisao/" TargetMode="External"/><Relationship Id="rId23" Type="http://schemas.openxmlformats.org/officeDocument/2006/relationships/footer" Target="footer1.xml"/><Relationship Id="rId10" Type="http://schemas.openxmlformats.org/officeDocument/2006/relationships/hyperlink" Target="https://www.gov.br/saude/pt-br/assuntos/saude-de-a-a-z/l/leishmaniose-visceral/estratificacao-de-risco/estratificacao-de-risco-da-leishmaniose-visceral-por-municipio-de-infeccao-brasil-2022-a-2024.pdf/view" TargetMode="External"/><Relationship Id="rId19" Type="http://schemas.openxmlformats.org/officeDocument/2006/relationships/hyperlink" Target="https://www.scielo.br/j/ress/a/TNK5dgynLbLDbpSSTPr6TMm/?format=pdf&amp;lang=pt" TargetMode="External"/><Relationship Id="rId4" Type="http://schemas.openxmlformats.org/officeDocument/2006/relationships/webSettings" Target="webSettings.xml"/><Relationship Id="rId9" Type="http://schemas.openxmlformats.org/officeDocument/2006/relationships/hyperlink" Target="https://www.sciencedirect.com/science/article/pii/S1413867021007571" TargetMode="External"/><Relationship Id="rId14" Type="http://schemas.openxmlformats.org/officeDocument/2006/relationships/hyperlink" Target="https://www.arca.fiocruz.br/handle/icict/13944"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Planilha1!$B$1</c:f>
              <c:strCache>
                <c:ptCount val="1"/>
                <c:pt idx="0">
                  <c:v>Coeficiente de Incid.</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Planilha1!$A$2:$A$6</c:f>
              <c:numCache>
                <c:formatCode>General</c:formatCode>
                <c:ptCount val="5"/>
                <c:pt idx="0">
                  <c:v>2020</c:v>
                </c:pt>
                <c:pt idx="1">
                  <c:v>2021</c:v>
                </c:pt>
                <c:pt idx="2">
                  <c:v>2022</c:v>
                </c:pt>
                <c:pt idx="3">
                  <c:v>2023</c:v>
                </c:pt>
                <c:pt idx="4">
                  <c:v>2024</c:v>
                </c:pt>
              </c:numCache>
            </c:numRef>
          </c:cat>
          <c:val>
            <c:numRef>
              <c:f>Planilha1!$B$2:$B$6</c:f>
              <c:numCache>
                <c:formatCode>General</c:formatCode>
                <c:ptCount val="5"/>
                <c:pt idx="0">
                  <c:v>5.2</c:v>
                </c:pt>
                <c:pt idx="1">
                  <c:v>1.5</c:v>
                </c:pt>
                <c:pt idx="2">
                  <c:v>2.2000000000000002</c:v>
                </c:pt>
                <c:pt idx="3">
                  <c:v>4.5</c:v>
                </c:pt>
                <c:pt idx="4">
                  <c:v>3</c:v>
                </c:pt>
              </c:numCache>
            </c:numRef>
          </c:val>
          <c:smooth val="0"/>
          <c:extLst>
            <c:ext xmlns:c16="http://schemas.microsoft.com/office/drawing/2014/chart" uri="{C3380CC4-5D6E-409C-BE32-E72D297353CC}">
              <c16:uniqueId val="{00000000-1637-4FFF-98F1-5995E29CA818}"/>
            </c:ext>
          </c:extLst>
        </c:ser>
        <c:ser>
          <c:idx val="1"/>
          <c:order val="1"/>
          <c:tx>
            <c:strRef>
              <c:f>Planilha1!$C$1</c:f>
              <c:strCache>
                <c:ptCount val="1"/>
                <c:pt idx="0">
                  <c:v>Quant. De Casos</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Planilha1!$A$2:$A$6</c:f>
              <c:numCache>
                <c:formatCode>General</c:formatCode>
                <c:ptCount val="5"/>
                <c:pt idx="0">
                  <c:v>2020</c:v>
                </c:pt>
                <c:pt idx="1">
                  <c:v>2021</c:v>
                </c:pt>
                <c:pt idx="2">
                  <c:v>2022</c:v>
                </c:pt>
                <c:pt idx="3">
                  <c:v>2023</c:v>
                </c:pt>
                <c:pt idx="4">
                  <c:v>2024</c:v>
                </c:pt>
              </c:numCache>
            </c:numRef>
          </c:cat>
          <c:val>
            <c:numRef>
              <c:f>Planilha1!$C$2:$C$6</c:f>
              <c:numCache>
                <c:formatCode>General</c:formatCode>
                <c:ptCount val="5"/>
                <c:pt idx="0">
                  <c:v>7</c:v>
                </c:pt>
                <c:pt idx="1">
                  <c:v>2</c:v>
                </c:pt>
                <c:pt idx="2">
                  <c:v>3</c:v>
                </c:pt>
                <c:pt idx="3">
                  <c:v>6</c:v>
                </c:pt>
                <c:pt idx="4">
                  <c:v>4</c:v>
                </c:pt>
              </c:numCache>
            </c:numRef>
          </c:val>
          <c:smooth val="0"/>
          <c:extLst>
            <c:ext xmlns:c16="http://schemas.microsoft.com/office/drawing/2014/chart" uri="{C3380CC4-5D6E-409C-BE32-E72D297353CC}">
              <c16:uniqueId val="{00000000-46BF-47E0-B92A-1812C1F9E81A}"/>
            </c:ext>
          </c:extLst>
        </c:ser>
        <c:dLbls>
          <c:dLblPos val="t"/>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361237023"/>
        <c:axId val="361227423"/>
      </c:lineChart>
      <c:catAx>
        <c:axId val="36123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1227423"/>
        <c:crosses val="autoZero"/>
        <c:auto val="1"/>
        <c:lblAlgn val="ctr"/>
        <c:lblOffset val="100"/>
        <c:noMultiLvlLbl val="0"/>
      </c:catAx>
      <c:valAx>
        <c:axId val="361227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12370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Série 1</c:v>
                </c:pt>
              </c:strCache>
            </c:strRef>
          </c:tx>
          <c:spPr>
            <a:solidFill>
              <a:schemeClr val="tx1"/>
            </a:solidFill>
            <a:ln>
              <a:noFill/>
            </a:ln>
            <a:effectLst/>
          </c:spPr>
          <c:invertIfNegative val="0"/>
          <c:cat>
            <c:strRef>
              <c:f>Planilha1!$A$2:$A$13</c:f>
              <c:strCache>
                <c:ptCount val="12"/>
                <c:pt idx="0">
                  <c:v>FEBRE</c:v>
                </c:pt>
                <c:pt idx="1">
                  <c:v>FRAQUEZA</c:v>
                </c:pt>
                <c:pt idx="2">
                  <c:v>PALIDEZ</c:v>
                </c:pt>
                <c:pt idx="3">
                  <c:v>EMAGRECIMENTO</c:v>
                </c:pt>
                <c:pt idx="4">
                  <c:v>AUM DO BAÇO</c:v>
                </c:pt>
                <c:pt idx="5">
                  <c:v>TOSSE OU DIARREIA</c:v>
                </c:pt>
                <c:pt idx="6">
                  <c:v>AUM DO FIGADO</c:v>
                </c:pt>
                <c:pt idx="7">
                  <c:v>EDEMA</c:v>
                </c:pt>
                <c:pt idx="8">
                  <c:v>ICTERICIA </c:v>
                </c:pt>
                <c:pt idx="9">
                  <c:v>OUTROS SINTOMAS</c:v>
                </c:pt>
                <c:pt idx="10">
                  <c:v>QUA_INFEC</c:v>
                </c:pt>
                <c:pt idx="11">
                  <c:v>FEN_HEMORR</c:v>
                </c:pt>
              </c:strCache>
            </c:strRef>
          </c:cat>
          <c:val>
            <c:numRef>
              <c:f>Planilha1!$B$2:$B$13</c:f>
              <c:numCache>
                <c:formatCode>General</c:formatCode>
                <c:ptCount val="12"/>
                <c:pt idx="0">
                  <c:v>19</c:v>
                </c:pt>
                <c:pt idx="1">
                  <c:v>21</c:v>
                </c:pt>
                <c:pt idx="2">
                  <c:v>19</c:v>
                </c:pt>
                <c:pt idx="3">
                  <c:v>17</c:v>
                </c:pt>
                <c:pt idx="4">
                  <c:v>12</c:v>
                </c:pt>
                <c:pt idx="5">
                  <c:v>12</c:v>
                </c:pt>
                <c:pt idx="6">
                  <c:v>13</c:v>
                </c:pt>
                <c:pt idx="7">
                  <c:v>9</c:v>
                </c:pt>
                <c:pt idx="8">
                  <c:v>5</c:v>
                </c:pt>
                <c:pt idx="9">
                  <c:v>8</c:v>
                </c:pt>
                <c:pt idx="10">
                  <c:v>6</c:v>
                </c:pt>
                <c:pt idx="11">
                  <c:v>1</c:v>
                </c:pt>
              </c:numCache>
            </c:numRef>
          </c:val>
          <c:extLst>
            <c:ext xmlns:c16="http://schemas.microsoft.com/office/drawing/2014/chart" uri="{C3380CC4-5D6E-409C-BE32-E72D297353CC}">
              <c16:uniqueId val="{00000000-0D06-4918-8C6A-76490569BB52}"/>
            </c:ext>
          </c:extLst>
        </c:ser>
        <c:dLbls>
          <c:showLegendKey val="0"/>
          <c:showVal val="0"/>
          <c:showCatName val="0"/>
          <c:showSerName val="0"/>
          <c:showPercent val="0"/>
          <c:showBubbleSize val="0"/>
        </c:dLbls>
        <c:gapWidth val="219"/>
        <c:overlap val="-27"/>
        <c:axId val="207387704"/>
        <c:axId val="207395512"/>
      </c:barChart>
      <c:catAx>
        <c:axId val="20738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07395512"/>
        <c:crosses val="autoZero"/>
        <c:auto val="1"/>
        <c:lblAlgn val="ctr"/>
        <c:lblOffset val="100"/>
        <c:noMultiLvlLbl val="0"/>
      </c:catAx>
      <c:valAx>
        <c:axId val="207395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7387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rj9yPKtQorhyvy9ob6eiHsFOg==">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Pages>
  <Words>3804</Words>
  <Characters>20542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Marcos Vinicius Afonso Cabral</cp:lastModifiedBy>
  <cp:revision>19</cp:revision>
  <dcterms:created xsi:type="dcterms:W3CDTF">2025-11-28T13:53:00Z</dcterms:created>
  <dcterms:modified xsi:type="dcterms:W3CDTF">2025-11-29T15:12:00Z</dcterms:modified>
</cp:coreProperties>
</file>