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="240" w:lineRule="auto"/>
        <w:ind w:right="14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 temática: </w:t>
      </w:r>
      <w:r w:rsidDel="00000000" w:rsidR="00000000" w:rsidRPr="00000000">
        <w:rPr>
          <w:rFonts w:ascii="Arial" w:cs="Arial" w:eastAsia="Arial" w:hAnsi="Arial"/>
          <w:rtl w:val="0"/>
        </w:rPr>
        <w:t xml:space="preserve">Ciências Biológicas</w:t>
      </w:r>
    </w:p>
    <w:p w:rsidR="00000000" w:rsidDel="00000000" w:rsidP="00000000" w:rsidRDefault="00000000" w:rsidRPr="00000000" w14:paraId="00000002">
      <w:pPr>
        <w:spacing w:after="60" w:before="60" w:line="240" w:lineRule="auto"/>
        <w:ind w:right="14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8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 diversidade beta das comunidades de cupins (Blattodea: Isoptera) responde a diferentes coberturas do solo?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="240" w:lineRule="auto"/>
        <w:ind w:right="14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8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Bruno Menezes Alencar Araripe, Daniela Faria Florencio, Michael Pratini Silva de Souza</w:t>
      </w:r>
    </w:p>
    <w:p w:rsidR="00000000" w:rsidDel="00000000" w:rsidP="00000000" w:rsidRDefault="00000000" w:rsidRPr="00000000" w14:paraId="00000006">
      <w:pPr>
        <w:spacing w:after="60" w:before="60" w:line="240" w:lineRule="auto"/>
        <w:ind w:right="14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 diversidade beta é a variação na composição de espécies entre áreas, a qual pode ocorrer por dois principais mecanismos: (i) pela substituição de espécies (“turnover”) ou pela perda de espécies (“nestedness”). Os cupins (Blattodea: Isoptera) são insetos sociais que desempenham um importante papel na manutenção dos ecossistemas, pois atuam nos processos de ciclagem de nutrientes e alteram a estrutura química e física do ambiente. Estes invertebrados são sensíveis a perturbação ambiental, e isso os tornam bons bioindicadores às mudanças ambientais. Nesse sentido, esse trabalho teve como objetivo investigar a diversidade beta das comunidades de cupins presentes em áreas sujeitas a diferentes coberturas de solo. As coletas foram realizadas no Parque Nacional da Furna Feia, situado entre os municípios de Mossoró e Braúnas, estado do Rio Grande do Norte. Realizamos coletas em seis áreas: Caatinga em regeneração de 10 anos; Caatinga em regeneração de 30 anos; Caatinga sujeita a alterações recentes; Cultivo de jerimum e milho; Cultivo de coco; e Cultivo de caju. Analisamos a diversidade beta das comunidades de cupins, com índice Jaccard baseado na presença e ausência de morfoespécies, no software R, com o pacote Betapart. Foram amostrados os cupins: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Heterotermes </w:t>
      </w:r>
      <w:r w:rsidDel="00000000" w:rsidR="00000000" w:rsidRPr="00000000">
        <w:rPr>
          <w:rFonts w:ascii="Arial" w:cs="Arial" w:eastAsia="Arial" w:hAnsi="Arial"/>
          <w:rtl w:val="0"/>
        </w:rPr>
        <w:t xml:space="preserve">sp.1 da família Rhinotermitidae.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Anoplotermes</w:t>
      </w:r>
      <w:r w:rsidDel="00000000" w:rsidR="00000000" w:rsidRPr="00000000">
        <w:rPr>
          <w:rFonts w:ascii="Arial" w:cs="Arial" w:eastAsia="Arial" w:hAnsi="Arial"/>
          <w:rtl w:val="0"/>
        </w:rPr>
        <w:t xml:space="preserve"> sp.1,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Amitermes </w:t>
      </w:r>
      <w:r w:rsidDel="00000000" w:rsidR="00000000" w:rsidRPr="00000000">
        <w:rPr>
          <w:rFonts w:ascii="Arial" w:cs="Arial" w:eastAsia="Arial" w:hAnsi="Arial"/>
          <w:rtl w:val="0"/>
        </w:rPr>
        <w:t xml:space="preserve">sp.1,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Amitermes </w:t>
      </w:r>
      <w:r w:rsidDel="00000000" w:rsidR="00000000" w:rsidRPr="00000000">
        <w:rPr>
          <w:rFonts w:ascii="Arial" w:cs="Arial" w:eastAsia="Arial" w:hAnsi="Arial"/>
          <w:rtl w:val="0"/>
        </w:rPr>
        <w:t xml:space="preserve">sp.2,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Nasutitermes </w:t>
      </w:r>
      <w:r w:rsidDel="00000000" w:rsidR="00000000" w:rsidRPr="00000000">
        <w:rPr>
          <w:rFonts w:ascii="Arial" w:cs="Arial" w:eastAsia="Arial" w:hAnsi="Arial"/>
          <w:rtl w:val="0"/>
        </w:rPr>
        <w:t xml:space="preserve">sp.1 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Nasutitermes </w:t>
      </w:r>
      <w:r w:rsidDel="00000000" w:rsidR="00000000" w:rsidRPr="00000000">
        <w:rPr>
          <w:rFonts w:ascii="Arial" w:cs="Arial" w:eastAsia="Arial" w:hAnsi="Arial"/>
          <w:rtl w:val="0"/>
        </w:rPr>
        <w:t xml:space="preserve">sp.2 da família Termitidae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A diversidade beta encontrada (βJAC = 0,89) sugere distintas comunidades de cupins. O principal processo de partição da diversidade beta que ocorre nas comunidades de cupins nas áreas estudadas é a substituição de espécies (βJTU = 0,80) em relação ao aninhamento (βJNE =0,09). Foi possível observar dois agrupamentos, com grande similaridade nas comunidades de cupins: (i) da área de Caatinga com alterações recentes com o cultivo de coco (βJTU = 0) e (ii) Cultivo de caju com Cultivo de jerimum e milho (βJTU = 0). As comunidades de cupins do agrupamento da área de Caatinga com alteração recente com o Cultivo de coco foram completamente distintas das outras comunidades estudadas (βJTU = 1,00). Por sua vez, as comunidades de cupins do Cultivo de caju com o Cultivo de jerimum e milho apresentaram 75% de similaridade em relação a de Caatinga com 30 anos de regeneração (βJTU = 0,25) e 20% de similaridade (βJTU = 0,8) a de Caatinga com 10 anos de regeneração. As comunidades de cupins das áreas de Caatinga com 10 e 30 anos apresentaram 45% de similaridade (βJTU = 0,55). Concluímos que a diversidade beta das comunidades de cupins responde às mudanças na cobertura do solo via a substituição de espécies.</w:t>
      </w:r>
    </w:p>
    <w:p w:rsidR="00000000" w:rsidDel="00000000" w:rsidP="00000000" w:rsidRDefault="00000000" w:rsidRPr="00000000" w14:paraId="00000008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Térmitas, Nestedness, Turnover, Biodiversidade, Caatinga.</w:t>
      </w:r>
    </w:p>
    <w:p w:rsidR="00000000" w:rsidDel="00000000" w:rsidP="00000000" w:rsidRDefault="00000000" w:rsidRPr="00000000" w14:paraId="0000000A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rtl w:val="0"/>
        </w:rPr>
        <w:t xml:space="preserve"> IC PIVIC.</w:t>
      </w:r>
    </w:p>
    <w:sectPr>
      <w:headerReference r:id="rId6" w:type="default"/>
      <w:foot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color="c45911" w:space="1" w:sz="12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cs="Arial" w:eastAsia="Arial" w:hAnsi="Arial"/>
        <w:color w:val="1f4e79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1f4e79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257.0" w:type="dxa"/>
      <w:jc w:val="left"/>
      <w:tblInd w:w="0.0" w:type="dxa"/>
      <w:tblBorders>
        <w:top w:color="000000" w:space="0" w:sz="0" w:val="nil"/>
        <w:left w:color="000000" w:space="0" w:sz="0" w:val="nil"/>
        <w:bottom w:color="c45911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6958"/>
      <w:gridCol w:w="2299"/>
      <w:tblGridChange w:id="0">
        <w:tblGrid>
          <w:gridCol w:w="6958"/>
          <w:gridCol w:w="2299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0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ed7d31"/>
              <w:sz w:val="20"/>
              <w:szCs w:val="20"/>
            </w:rPr>
            <w:drawing>
              <wp:inline distB="0" distT="0" distL="114300" distR="114300">
                <wp:extent cx="3400425" cy="89154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0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ed7d31"/>
              <w:sz w:val="20"/>
              <w:szCs w:val="20"/>
              <w:rtl w:val="0"/>
            </w:rPr>
            <w:t xml:space="preserve">Anais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color w:val="ed7d3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ed7d31"/>
              <w:sz w:val="20"/>
              <w:szCs w:val="20"/>
              <w:rtl w:val="0"/>
            </w:rPr>
            <w:t xml:space="preserve">Mossoró-RN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60" w:before="60" w:line="240" w:lineRule="auto"/>
      <w:rPr>
        <w:rFonts w:ascii="Times New Roman" w:cs="Times New Roman" w:eastAsia="Times New Roman" w:hAnsi="Times New Roman"/>
        <w:color w:val="ed7d3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