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E427F" w:rsidRDefault="006E42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2" w14:textId="77777777" w:rsidR="006E427F" w:rsidRDefault="001645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MIL DIAS E VARIÁVEIS</w:t>
      </w:r>
    </w:p>
    <w:p w14:paraId="00000003" w14:textId="77777777" w:rsidR="006E427F" w:rsidRDefault="001645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Felipe Antônio de Oliveira - Universidade de Itaúna ; André Luiz Teixeira do Vale - Centro Universitário Municipal de Franca; Angelita Alves de Lima - Universidade José do Rosário Vellano; Alessandro Chaves Correa - Instituto Metropolitano de Ensino Superi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or; Mateus Pagani de Paiva - Universidade José do Rosário Vellano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4" w14:textId="77777777" w:rsidR="006E427F" w:rsidRDefault="006E42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5" w14:textId="77777777" w:rsidR="006E427F" w:rsidRDefault="00164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Introdução</w:t>
      </w:r>
    </w:p>
    <w:p w14:paraId="00000006" w14:textId="77777777" w:rsidR="006E427F" w:rsidRDefault="00164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 primeiros mil dias (PMD) de um indivíduo se referem ao intervalo compreendido desde a concepção até os 2 anos de vida. Esse período representa uma importante janela de oportu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nidades para a adoção de estratégias nutriepigenéticas que atuarão na promoção da saúde infantil e prevenção de agravos. Tal planejamento é obtido através da identificação das variáveis epigenéticas, impactos dos PMD na morbimortalidade infantil e principa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is medidas de intervenção para um bom manejo desta fase. </w:t>
      </w:r>
    </w:p>
    <w:p w14:paraId="00000007" w14:textId="77777777" w:rsidR="006E427F" w:rsidRDefault="00164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Objetivos</w:t>
      </w:r>
    </w:p>
    <w:p w14:paraId="00000008" w14:textId="77777777" w:rsidR="006E427F" w:rsidRDefault="00164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Relatar a importância dos PMD e suas variáveis, mostrando consequências de seu manejo para infância e vida adulta do indivíduo.</w:t>
      </w:r>
    </w:p>
    <w:p w14:paraId="00000009" w14:textId="77777777" w:rsidR="006E427F" w:rsidRDefault="00164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Revisão</w:t>
      </w:r>
    </w:p>
    <w:p w14:paraId="0000000A" w14:textId="2BFE0C49" w:rsidR="006E427F" w:rsidRDefault="00164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mecanismo nutriepigenético dos PMD consiste em 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oexpressões e hiperexpressões gênicas específicas induzidas por metilação do DNA desencadeadas pela nutrição da gestante que a posteriori afetarão a prole. O manejo nutricional materno poderá refletir na saúde da criança e futuro  adulto. O acompanhamento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PMD tem por objetivo diminuir a prevalência de doenças crônicas (DC) na infância e vida adulta programando de certa forma o DNA.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Isso começa ainda na gestação com um pré-natal adequado iniciado no primeiro  trimestre de gravidez, contendo no mínimo 6 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onsultas, sendo  a primeira, precoce. Quando tal manejo ocorre de forma insatisfatória podemos ter alterações pondero-estaturais (PE) futuras na criança, como  crescimento intrauterino restrito (CIUR), macrossomias e baixo peso ao nascer (BPN). Mães com hipertensão arterial (HA)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 gravidez apresentam disfunção de vasos placentários, má nutrição fetal e posterior CIUR do feto causando distúrbios cardiovasculares na infância e vida adulta. Gestantes obesas, com diabetes mellitus (DM) têm maior chance de gerar filhos com DC semelha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ntes. Elas transferem mais substrato energético ao concepto gerando hiperinsulinemia reflexa culminando em fetos macrossômicos e maior propensão a desenvolver comorbidades. Mães com alimentação rica em gorduras e carboidratos modulam epigeneticamente  cria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nças a uma preferência dietética semelhante e podem produzir adulto obeso 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com DM. Em relação à restrição proteica materna, esta causa hiperexpressão do receptor de angiotensina , o que aumenta as chances do feto em se tornar um adulto com HA posteriormen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te.</w:t>
      </w:r>
    </w:p>
    <w:p w14:paraId="0000000B" w14:textId="77777777" w:rsidR="006E427F" w:rsidRDefault="00164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Carência de ferro ou ácido fólico (AF) na gestação estão entre as causas de CIUR e BPN. O AF ainda é importante na prevenção da espinha bífida (causa comum de anemia gestacional) e para garantir níveis adequados de glicina evitando H.A. Já o Zinco tem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papel na imunidade, transporte eletrolítico  e água intestinal, sendo útil para profilaxia de diarreias (causa comum de morte em crianças), bem como a vitamina A.</w:t>
      </w:r>
    </w:p>
    <w:p w14:paraId="0000000C" w14:textId="77777777" w:rsidR="006E427F" w:rsidRDefault="00164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Conclusão</w:t>
      </w:r>
    </w:p>
    <w:p w14:paraId="0000000D" w14:textId="3D483E8B" w:rsidR="006E427F" w:rsidRDefault="00164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Comprovam-se as variáveis do período dos PMD e os impactos do seu manejo inadequad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o. Levantam-se novas perspectivas para o futuro da pediatria e neonatologia com foco no controle nutriepigenético cada vez mais preciso de fatores de risco relacionados ao desenvolvimento de DC.</w:t>
      </w:r>
    </w:p>
    <w:p w14:paraId="0000000E" w14:textId="77777777" w:rsidR="006E427F" w:rsidRDefault="001645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ALAVRAS-CHAVES (3</w:t>
      </w:r>
      <w:r>
        <w:rPr>
          <w:rFonts w:ascii="Times New Roman" w:eastAsia="Times New Roman" w:hAnsi="Times New Roman" w:cs="Times New Roman"/>
          <w:sz w:val="24"/>
          <w:szCs w:val="24"/>
        </w:rPr>
        <w:t>-5): Mil dias. Nutrição infantil. Epigenética</w:t>
      </w:r>
    </w:p>
    <w:p w14:paraId="0000000F" w14:textId="77777777" w:rsidR="006E427F" w:rsidRDefault="006E4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6E427F" w:rsidRDefault="006E427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6E427F">
      <w:pgSz w:w="11906" w:h="16838"/>
      <w:pgMar w:top="170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7F"/>
    <w:rsid w:val="0016452B"/>
    <w:rsid w:val="006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492E"/>
  <w15:docId w15:val="{26120D27-6FA2-42CF-90F8-5E0C6186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André Valle</cp:lastModifiedBy>
  <cp:revision>2</cp:revision>
  <dcterms:created xsi:type="dcterms:W3CDTF">2020-09-23T02:35:00Z</dcterms:created>
  <dcterms:modified xsi:type="dcterms:W3CDTF">2020-09-23T02:40:00Z</dcterms:modified>
</cp:coreProperties>
</file>