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ANÁLISE DA VARIABILIDADE GENÉTICA E DA ESTRUTURA POPULACIONAL DO TUBARÃO-GALHA-PRETA (</w:t>
      </w:r>
      <w:r w:rsidDel="00000000" w:rsidR="00000000" w:rsidRPr="00000000">
        <w:rPr>
          <w:rFonts w:ascii="Times New Roman" w:cs="Times New Roman" w:eastAsia="Times New Roman" w:hAnsi="Times New Roman"/>
          <w:b w:val="1"/>
          <w:i w:val="1"/>
          <w:color w:val="000000"/>
          <w:sz w:val="24"/>
          <w:szCs w:val="24"/>
          <w:highlight w:val="white"/>
          <w:rtl w:val="0"/>
        </w:rPr>
        <w:t xml:space="preserve">CARCHARHINUS LIMBATUS</w:t>
      </w:r>
      <w:r w:rsidDel="00000000" w:rsidR="00000000" w:rsidRPr="00000000">
        <w:rPr>
          <w:rFonts w:ascii="Times New Roman" w:cs="Times New Roman" w:eastAsia="Times New Roman" w:hAnsi="Times New Roman"/>
          <w:b w:val="1"/>
          <w:color w:val="000000"/>
          <w:sz w:val="24"/>
          <w:szCs w:val="24"/>
          <w:highlight w:val="white"/>
          <w:rtl w:val="0"/>
        </w:rPr>
        <w:t xml:space="preserve">) (MÜLLER &amp; HENLE, 1839) NO LITORAL PARANAENSE A PARTIR DE UMA PORÇÃO DA REGIÃO CONTROLE (CR) DO DNA MITOCONDRIAL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 of the genetic variability and population structure of the Blacktip Shark (</w:t>
      </w:r>
      <w:r w:rsidDel="00000000" w:rsidR="00000000" w:rsidRPr="00000000">
        <w:rPr>
          <w:rFonts w:ascii="Times New Roman" w:cs="Times New Roman" w:eastAsia="Times New Roman" w:hAnsi="Times New Roman"/>
          <w:b w:val="1"/>
          <w:i w:val="1"/>
          <w:sz w:val="24"/>
          <w:szCs w:val="24"/>
          <w:rtl w:val="0"/>
        </w:rPr>
        <w:t xml:space="preserve">Carcharhinus limbatus</w:t>
      </w:r>
      <w:r w:rsidDel="00000000" w:rsidR="00000000" w:rsidRPr="00000000">
        <w:rPr>
          <w:rFonts w:ascii="Times New Roman" w:cs="Times New Roman" w:eastAsia="Times New Roman" w:hAnsi="Times New Roman"/>
          <w:b w:val="1"/>
          <w:sz w:val="24"/>
          <w:szCs w:val="24"/>
          <w:rtl w:val="0"/>
        </w:rPr>
        <w:t xml:space="preserve">) (Müller &amp; Henle, 1839) off the Paraná coast based on a control region portion of the mitochondrial DNA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Eduardo Rufino de Senna Gastal¹, João Bráullio de Luna Sales², Natascha Wosnick¹</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 Programa de Pós-Graduação em Zoologia. Universidade Federal do Paraná.</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² Programa de Ecologia Aquática e Pesca. Universidade Federal do Pará.</w:t>
      </w:r>
    </w:p>
    <w:p w:rsidR="00000000" w:rsidDel="00000000" w:rsidP="00000000" w:rsidRDefault="00000000" w:rsidRPr="00000000" w14:paraId="00000007">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gastaldudu@gmail.com</w:t>
        </w:r>
      </w:hyperlink>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O tubarão-galha-preta (</w:t>
      </w:r>
      <w:r w:rsidDel="00000000" w:rsidR="00000000" w:rsidRPr="00000000">
        <w:rPr>
          <w:rFonts w:ascii="Times New Roman" w:cs="Times New Roman" w:eastAsia="Times New Roman" w:hAnsi="Times New Roman"/>
          <w:i w:val="1"/>
          <w:color w:val="000000"/>
          <w:sz w:val="24"/>
          <w:szCs w:val="24"/>
          <w:rtl w:val="0"/>
        </w:rPr>
        <w:t xml:space="preserve">Carcharhinus limbatus</w:t>
      </w:r>
      <w:r w:rsidDel="00000000" w:rsidR="00000000" w:rsidRPr="00000000">
        <w:rPr>
          <w:rFonts w:ascii="Times New Roman" w:cs="Times New Roman" w:eastAsia="Times New Roman" w:hAnsi="Times New Roman"/>
          <w:color w:val="000000"/>
          <w:sz w:val="24"/>
          <w:szCs w:val="24"/>
          <w:rtl w:val="0"/>
        </w:rPr>
        <w:t xml:space="preserve">) é uma espécie de distribuição global, sendo encontrado em zonas costeiras tropicais e subtropicais. No Brasil, a espécie é encontrada ao longo de todo o litoral. Atualmente, encontra-se classificado como “Quase Ameaçado” na Lista Vermelha da União Internacional para a Conservação da Natureza (IUCN) e no Livro Vermelho do </w:t>
      </w:r>
      <w:r w:rsidDel="00000000" w:rsidR="00000000" w:rsidRPr="00000000">
        <w:rPr>
          <w:rFonts w:ascii="Times New Roman" w:cs="Times New Roman" w:eastAsia="Times New Roman" w:hAnsi="Times New Roman"/>
          <w:color w:val="000000"/>
          <w:sz w:val="24"/>
          <w:szCs w:val="24"/>
          <w:highlight w:val="white"/>
          <w:rtl w:val="0"/>
        </w:rPr>
        <w:t xml:space="preserve">Instituto Chico Mendes de Conservação da Biodiversidade (ICMBio). Entretanto, estas avaliações foram realizadas em 2009 e 2012, respectivamente, e indícios recentes de declínios populacionais podem mover a espécie para categorias de maior risco em um futuro próximo. Análises prévias genéticas indicam que a espécie está dividida em subpopulações ao longo do Oceano Atlântico. Tal divisão implica em medidas de manejo regionalizadas, considerando o isolamento dos estoques e as particularidades da pesca em cada região. Na América do Sul, até o momento, apenas populações da região Norte do Brasil foram analisadas, com evidências de isolamento genético em relação a outras populações já estudadas no </w:t>
      </w:r>
      <w:r w:rsidDel="00000000" w:rsidR="00000000" w:rsidRPr="00000000">
        <w:rPr>
          <w:rFonts w:ascii="Times New Roman" w:cs="Times New Roman" w:eastAsia="Times New Roman" w:hAnsi="Times New Roman"/>
          <w:color w:val="000000"/>
          <w:sz w:val="24"/>
          <w:szCs w:val="24"/>
          <w:highlight w:val="white"/>
          <w:rtl w:val="0"/>
        </w:rPr>
        <w:t xml:space="preserve">Atlântico</w:t>
      </w:r>
      <w:r w:rsidDel="00000000" w:rsidR="00000000" w:rsidRPr="00000000">
        <w:rPr>
          <w:rFonts w:ascii="Times New Roman" w:cs="Times New Roman" w:eastAsia="Times New Roman" w:hAnsi="Times New Roman"/>
          <w:color w:val="000000"/>
          <w:sz w:val="24"/>
          <w:szCs w:val="24"/>
          <w:highlight w:val="white"/>
          <w:rtl w:val="0"/>
        </w:rPr>
        <w:t xml:space="preserve">, indicando uma necessidade de manejo adaptado. Até o presente, dados genéticos não estão disponíveis para as populações do Sul do país, impondo um desafio extra para o ordenamento pesqueiro na região. O litoral do Paraná abriga um dos maiores berçários da espécie, sendo possivelmente responsável pela manutenção das populações de todo o Sudoeste do Atlântico Sul. Um fator agravante para o manejo na região são as elevadas taxas de captura pelas frotas artesanais </w:t>
      </w:r>
      <w:r w:rsidDel="00000000" w:rsidR="00000000" w:rsidRPr="00000000">
        <w:rPr>
          <w:rFonts w:ascii="Times New Roman" w:cs="Times New Roman" w:eastAsia="Times New Roman" w:hAnsi="Times New Roman"/>
          <w:sz w:val="24"/>
          <w:szCs w:val="24"/>
          <w:highlight w:val="white"/>
          <w:rtl w:val="0"/>
        </w:rPr>
        <w:t xml:space="preserve">datando mais de</w:t>
      </w:r>
      <w:r w:rsidDel="00000000" w:rsidR="00000000" w:rsidRPr="00000000">
        <w:rPr>
          <w:rFonts w:ascii="Times New Roman" w:cs="Times New Roman" w:eastAsia="Times New Roman" w:hAnsi="Times New Roman"/>
          <w:color w:val="000000"/>
          <w:sz w:val="24"/>
          <w:szCs w:val="24"/>
          <w:highlight w:val="white"/>
          <w:rtl w:val="0"/>
        </w:rPr>
        <w:t xml:space="preserve"> 60 anos</w:t>
      </w:r>
      <w:r w:rsidDel="00000000" w:rsidR="00000000" w:rsidRPr="00000000">
        <w:rPr>
          <w:rFonts w:ascii="Times New Roman" w:cs="Times New Roman" w:eastAsia="Times New Roman" w:hAnsi="Times New Roman"/>
          <w:sz w:val="24"/>
          <w:szCs w:val="24"/>
          <w:highlight w:val="white"/>
          <w:rtl w:val="0"/>
        </w:rPr>
        <w:t xml:space="preserve">. Diante deste cenário,</w:t>
      </w:r>
      <w:r w:rsidDel="00000000" w:rsidR="00000000" w:rsidRPr="00000000">
        <w:rPr>
          <w:rFonts w:ascii="Times New Roman" w:cs="Times New Roman" w:eastAsia="Times New Roman" w:hAnsi="Times New Roman"/>
          <w:color w:val="000000"/>
          <w:sz w:val="24"/>
          <w:szCs w:val="24"/>
          <w:highlight w:val="white"/>
          <w:rtl w:val="0"/>
        </w:rPr>
        <w:t xml:space="preserve"> espera-se encontrar baixa variabilidade genética e reduzido potencial de recuperação populacional, uma vez que a sobreexplotação pesqueira pode tornar a espécie suscetível à endogamia. Além disso, dada a intensa atividade pesqueira </w:t>
      </w:r>
      <w:r w:rsidDel="00000000" w:rsidR="00000000" w:rsidRPr="00000000">
        <w:rPr>
          <w:rFonts w:ascii="Times New Roman" w:cs="Times New Roman" w:eastAsia="Times New Roman" w:hAnsi="Times New Roman"/>
          <w:sz w:val="24"/>
          <w:szCs w:val="24"/>
          <w:highlight w:val="white"/>
          <w:rtl w:val="0"/>
        </w:rPr>
        <w:t xml:space="preserve">nesta</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área de berçário</w:t>
      </w:r>
      <w:r w:rsidDel="00000000" w:rsidR="00000000" w:rsidRPr="00000000">
        <w:rPr>
          <w:rFonts w:ascii="Times New Roman" w:cs="Times New Roman" w:eastAsia="Times New Roman" w:hAnsi="Times New Roman"/>
          <w:color w:val="000000"/>
          <w:sz w:val="24"/>
          <w:szCs w:val="24"/>
          <w:highlight w:val="white"/>
          <w:rtl w:val="0"/>
        </w:rPr>
        <w:t xml:space="preserve">, espera-se observar os efeitos da Evolução Induzida pela Pesca (Fisheries Induced Evolution – FIE) na população estudada. Análises moleculares serão realizadas a partir de tecido muscular utilizando uma porção da região controle CR. </w:t>
      </w:r>
      <w:r w:rsidDel="00000000" w:rsidR="00000000" w:rsidRPr="00000000">
        <w:rPr>
          <w:rFonts w:ascii="Times New Roman" w:cs="Times New Roman" w:eastAsia="Times New Roman" w:hAnsi="Times New Roman"/>
          <w:color w:val="000000"/>
          <w:sz w:val="24"/>
          <w:szCs w:val="24"/>
          <w:rtl w:val="0"/>
        </w:rPr>
        <w:t xml:space="preserve">Será realizada a Análise de Variância Molecular (AMOVA) para verificar a existência de populações estruturadas e o grau de variabilidade genética dentro da população. As reconstruções filogenéticas serão realizadas com base em duas metodologias distintas: Máxima Verossimilhança (ML) e Inferência Bayesiana (IB). Os resultados obtidos serão utilizados para propor medidas de gestão pesqueira na região, visando direcionar ações que possam reduzir os impactos da captura comercial neste importante polo para a manutenção das populações do </w:t>
      </w:r>
      <w:r w:rsidDel="00000000" w:rsidR="00000000" w:rsidRPr="00000000">
        <w:rPr>
          <w:rFonts w:ascii="Times New Roman" w:cs="Times New Roman" w:eastAsia="Times New Roman" w:hAnsi="Times New Roman"/>
          <w:color w:val="000000"/>
          <w:sz w:val="24"/>
          <w:szCs w:val="24"/>
          <w:rtl w:val="0"/>
        </w:rPr>
        <w:t xml:space="preserve">Atlântico Sul.</w:t>
      </w: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Palavras-chave:</w:t>
      </w:r>
      <w:r w:rsidDel="00000000" w:rsidR="00000000" w:rsidRPr="00000000">
        <w:rPr>
          <w:rFonts w:ascii="Times New Roman" w:cs="Times New Roman" w:eastAsia="Times New Roman" w:hAnsi="Times New Roman"/>
          <w:sz w:val="24"/>
          <w:szCs w:val="24"/>
          <w:highlight w:val="white"/>
          <w:rtl w:val="0"/>
        </w:rPr>
        <w:t xml:space="preserve"> Zoologia; Elasmobrânquios; Genética; Pesca; Fisheries Induced Evolution;</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sectPr>
      <w:pgSz w:h="16834" w:w="11909"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rio">
    <w:name w:val="annotation reference"/>
    <w:basedOn w:val="Fontepargpadro"/>
    <w:uiPriority w:val="99"/>
    <w:semiHidden w:val="1"/>
    <w:unhideWhenUsed w:val="1"/>
    <w:rsid w:val="00E52810"/>
    <w:rPr>
      <w:sz w:val="16"/>
      <w:szCs w:val="16"/>
    </w:rPr>
  </w:style>
  <w:style w:type="paragraph" w:styleId="Textodecomentrio">
    <w:name w:val="annotation text"/>
    <w:basedOn w:val="Normal"/>
    <w:link w:val="TextodecomentrioChar"/>
    <w:uiPriority w:val="99"/>
    <w:semiHidden w:val="1"/>
    <w:unhideWhenUsed w:val="1"/>
    <w:rsid w:val="00E52810"/>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E52810"/>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E52810"/>
    <w:rPr>
      <w:b w:val="1"/>
      <w:bCs w:val="1"/>
    </w:rPr>
  </w:style>
  <w:style w:type="character" w:styleId="AssuntodocomentrioChar" w:customStyle="1">
    <w:name w:val="Assunto do comentário Char"/>
    <w:basedOn w:val="TextodecomentrioChar"/>
    <w:link w:val="Assuntodocomentrio"/>
    <w:uiPriority w:val="99"/>
    <w:semiHidden w:val="1"/>
    <w:rsid w:val="00E5281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7mCXrfpHT+5WYgGXEMfWT9hlA==">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2021-07-01T10:07:00Z</dcterms:created>
  <dc:creator>Natascha</dc:creator>
</cp:coreProperties>
</file>