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2E07" w14:textId="34B01ECE" w:rsidR="005D3145" w:rsidRPr="003E1A85" w:rsidRDefault="003E1A85" w:rsidP="003E1A85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US"/>
        </w:rPr>
      </w:pPr>
      <w:r w:rsidRPr="003E1A85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en-US"/>
        </w:rPr>
        <w:t>AUCTION DESIGN FOR PROCUREMENT OF FLEXIBLE POWER</w:t>
      </w:r>
    </w:p>
    <w:p w14:paraId="4DEE8254" w14:textId="77777777" w:rsidR="00C56117" w:rsidRDefault="00C56117">
      <w:pP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sectPr w:rsidR="00C5611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942B07" w14:textId="77777777" w:rsidR="001E7D1B" w:rsidRDefault="001E7D1B">
      <w:pP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</w:p>
    <w:p w14:paraId="09AB7FF7" w14:textId="77777777" w:rsidR="00ED55FD" w:rsidRDefault="00ED55FD">
      <w:pP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</w:p>
    <w:p w14:paraId="3E09DF1A" w14:textId="77777777" w:rsidR="00C56117" w:rsidRDefault="00C56117" w:rsidP="00346D99">
      <w:pPr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</w:p>
    <w:p w14:paraId="7E58B52D" w14:textId="77777777" w:rsidR="00144C9E" w:rsidRPr="005737BF" w:rsidRDefault="00144C9E" w:rsidP="00346D99">
      <w:pPr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sectPr w:rsidR="00144C9E" w:rsidRPr="005737BF" w:rsidSect="00ED55FD"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5F733BA" w14:textId="77777777" w:rsidR="00537662" w:rsidRPr="00537662" w:rsidRDefault="00537662" w:rsidP="00537662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  <w:r w:rsidRPr="0053766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>Daniel Monte</w:t>
      </w:r>
    </w:p>
    <w:p w14:paraId="37884F65" w14:textId="77777777" w:rsidR="00537662" w:rsidRPr="005737BF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University of Turin</w:t>
      </w:r>
    </w:p>
    <w:p w14:paraId="035AB3F5" w14:textId="77777777" w:rsidR="00537662" w:rsidRPr="005737BF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+39 331 150 2966</w:t>
      </w:r>
    </w:p>
    <w:p w14:paraId="49B65E73" w14:textId="77777777" w:rsidR="00537662" w:rsidRPr="005737BF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hyperlink r:id="rId5" w:history="1">
        <w:r w:rsidRPr="005737BF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en-US"/>
          </w:rPr>
          <w:t>daniel.monte@fgv.br</w:t>
        </w:r>
      </w:hyperlink>
    </w:p>
    <w:p w14:paraId="0FC36539" w14:textId="77777777" w:rsidR="00537662" w:rsidRDefault="00537662" w:rsidP="00C56117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</w:p>
    <w:p w14:paraId="2B86B28B" w14:textId="77777777" w:rsidR="00537662" w:rsidRPr="003E1A85" w:rsidRDefault="00537662" w:rsidP="00537662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 xml:space="preserve">Pedro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>Ozenda</w:t>
      </w:r>
      <w:proofErr w:type="spellEnd"/>
    </w:p>
    <w:p w14:paraId="697C533D" w14:textId="77777777" w:rsidR="00537662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Duke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University</w:t>
      </w:r>
      <w:proofErr w:type="spellEnd"/>
    </w:p>
    <w:p w14:paraId="57706F58" w14:textId="77777777" w:rsidR="00537662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+55 21 999 952 535</w:t>
      </w:r>
    </w:p>
    <w:p w14:paraId="4034CF09" w14:textId="57B5817E" w:rsidR="00537662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hyperlink r:id="rId6" w:history="1">
        <w:r w:rsidRPr="00576A9A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pt-BR"/>
          </w:rPr>
          <w:t>pedroozenda@hotmail.com</w:t>
        </w:r>
      </w:hyperlink>
    </w:p>
    <w:p w14:paraId="1B900649" w14:textId="6ABBC300" w:rsidR="00346D99" w:rsidRPr="00537662" w:rsidRDefault="00346D99" w:rsidP="00537662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  <w:r w:rsidRPr="00537662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>Richard Lee Hochstetler</w:t>
      </w:r>
    </w:p>
    <w:p w14:paraId="1428472D" w14:textId="77777777" w:rsidR="00346D99" w:rsidRDefault="00346D99" w:rsidP="00C56117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346D99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Instituto Acende Brasil</w:t>
      </w:r>
    </w:p>
    <w:p w14:paraId="441796B0" w14:textId="77777777" w:rsidR="00346D99" w:rsidRDefault="00346D99" w:rsidP="00C56117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346D99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+55 11 964 290 578</w:t>
      </w:r>
    </w:p>
    <w:p w14:paraId="4DA935A4" w14:textId="1E32D5ED" w:rsidR="00346D99" w:rsidRDefault="00537662" w:rsidP="00C56117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hyperlink r:id="rId7" w:history="1">
        <w:r w:rsidR="003E1A85" w:rsidRPr="00576A9A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pt-BR"/>
          </w:rPr>
          <w:t>richard@acendebrasil.com.br</w:t>
        </w:r>
      </w:hyperlink>
    </w:p>
    <w:p w14:paraId="7392A21B" w14:textId="77777777" w:rsidR="003E1A85" w:rsidRDefault="003E1A85" w:rsidP="00C56117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</w:p>
    <w:p w14:paraId="182674EB" w14:textId="0271C068" w:rsidR="003E1A85" w:rsidRPr="003E1A85" w:rsidRDefault="003E1A85" w:rsidP="00C56117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>Rodrigo Moita</w:t>
      </w:r>
    </w:p>
    <w:p w14:paraId="16601D50" w14:textId="2811178E" w:rsidR="003E1A85" w:rsidRPr="005737BF" w:rsidRDefault="003E1A85" w:rsidP="00C56117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proofErr w:type="spellStart"/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University</w:t>
      </w:r>
      <w:proofErr w:type="spellEnd"/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 </w:t>
      </w:r>
      <w:proofErr w:type="spellStart"/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of</w:t>
      </w:r>
      <w:proofErr w:type="spellEnd"/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 xml:space="preserve"> São Paulo</w:t>
      </w:r>
    </w:p>
    <w:p w14:paraId="0051338C" w14:textId="1C93C312" w:rsidR="003E1A85" w:rsidRPr="005737BF" w:rsidRDefault="003E1A85" w:rsidP="00C56117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r w:rsidRPr="005737BF"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  <w:t>+55 11 982 701 989</w:t>
      </w:r>
    </w:p>
    <w:p w14:paraId="02E39A56" w14:textId="03FB6C00" w:rsidR="001E7D1B" w:rsidRDefault="00537662" w:rsidP="00537662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pt-BR"/>
        </w:rPr>
      </w:pPr>
      <w:hyperlink r:id="rId8" w:history="1">
        <w:r w:rsidR="001E7D1B" w:rsidRPr="005737BF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pt-BR"/>
          </w:rPr>
          <w:t>rodmoita@usp.br</w:t>
        </w:r>
      </w:hyperlink>
    </w:p>
    <w:p w14:paraId="486154A2" w14:textId="40E0DFEA" w:rsidR="001E7D1B" w:rsidRPr="001E7D1B" w:rsidRDefault="001E7D1B" w:rsidP="00C56117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</w:pPr>
      <w:r w:rsidRPr="001E7D1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pt-BR"/>
        </w:rPr>
        <w:t>Sara Boro</w:t>
      </w:r>
    </w:p>
    <w:p w14:paraId="123200DA" w14:textId="7294E442" w:rsidR="00346D99" w:rsidRDefault="001E7D1B" w:rsidP="00C56117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CTG Brasil</w:t>
      </w:r>
    </w:p>
    <w:p w14:paraId="57077EF7" w14:textId="1DD38C6B" w:rsidR="001E7D1B" w:rsidRDefault="001E7D1B" w:rsidP="00C56117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+55 11 963 699 666</w:t>
      </w:r>
    </w:p>
    <w:p w14:paraId="459403C1" w14:textId="2A933EC3" w:rsidR="001E7D1B" w:rsidRDefault="00537662" w:rsidP="00C56117">
      <w:pPr>
        <w:jc w:val="center"/>
        <w:rPr>
          <w:sz w:val="20"/>
          <w:szCs w:val="20"/>
          <w:lang w:val="pt-BR"/>
        </w:rPr>
      </w:pPr>
      <w:hyperlink r:id="rId9" w:history="1">
        <w:r w:rsidR="001E7D1B" w:rsidRPr="00576A9A">
          <w:rPr>
            <w:rStyle w:val="Hyperlink"/>
            <w:sz w:val="20"/>
            <w:szCs w:val="20"/>
            <w:lang w:val="pt-BR"/>
          </w:rPr>
          <w:t>sara.boro@ctgbr.com.br</w:t>
        </w:r>
      </w:hyperlink>
    </w:p>
    <w:p w14:paraId="3600F84A" w14:textId="77777777" w:rsidR="00C56117" w:rsidRDefault="00C56117" w:rsidP="00C56117">
      <w:pPr>
        <w:jc w:val="center"/>
        <w:rPr>
          <w:sz w:val="20"/>
          <w:szCs w:val="20"/>
          <w:lang w:val="pt-BR"/>
        </w:rPr>
      </w:pPr>
    </w:p>
    <w:p w14:paraId="26D3ED31" w14:textId="77777777" w:rsidR="00C56117" w:rsidRDefault="00C56117" w:rsidP="00C56117">
      <w:pPr>
        <w:jc w:val="center"/>
        <w:rPr>
          <w:sz w:val="20"/>
          <w:szCs w:val="20"/>
          <w:lang w:val="pt-BR"/>
        </w:rPr>
      </w:pPr>
    </w:p>
    <w:p w14:paraId="2C2B7403" w14:textId="77777777" w:rsidR="00C56117" w:rsidRDefault="00C56117" w:rsidP="00C56117">
      <w:pPr>
        <w:jc w:val="center"/>
        <w:rPr>
          <w:sz w:val="20"/>
          <w:szCs w:val="20"/>
          <w:lang w:val="pt-BR"/>
        </w:rPr>
        <w:sectPr w:rsidR="00C56117" w:rsidSect="00C56117">
          <w:type w:val="continuous"/>
          <w:pgSz w:w="12240" w:h="15840"/>
          <w:pgMar w:top="1440" w:right="1440" w:bottom="1440" w:left="1440" w:header="708" w:footer="708" w:gutter="0"/>
          <w:cols w:num="3" w:space="720"/>
          <w:docGrid w:linePitch="360"/>
        </w:sectPr>
      </w:pPr>
    </w:p>
    <w:p w14:paraId="68A8DC24" w14:textId="77777777" w:rsidR="001E7D1B" w:rsidRDefault="001E7D1B" w:rsidP="00C56117">
      <w:pPr>
        <w:jc w:val="center"/>
        <w:rPr>
          <w:sz w:val="20"/>
          <w:szCs w:val="20"/>
          <w:lang w:val="pt-BR"/>
        </w:rPr>
      </w:pPr>
    </w:p>
    <w:p w14:paraId="5622EB1B" w14:textId="77777777" w:rsidR="00346D99" w:rsidRPr="001E7D1B" w:rsidRDefault="00346D99" w:rsidP="00144C9E">
      <w:pPr>
        <w:rPr>
          <w:sz w:val="20"/>
          <w:szCs w:val="20"/>
          <w:lang w:val="pt-BR"/>
        </w:rPr>
      </w:pPr>
    </w:p>
    <w:p w14:paraId="49BFA0A9" w14:textId="77777777" w:rsidR="00C56117" w:rsidRDefault="00C56117" w:rsidP="00346D99">
      <w:pPr>
        <w:jc w:val="both"/>
        <w:rPr>
          <w:rFonts w:ascii="Arial" w:hAnsi="Arial" w:cs="Arial"/>
          <w:b/>
          <w:bCs/>
          <w:color w:val="000000"/>
          <w:kern w:val="0"/>
          <w:lang w:val="pt-BR"/>
        </w:rPr>
      </w:pPr>
    </w:p>
    <w:p w14:paraId="520AAB41" w14:textId="77777777" w:rsidR="00144C9E" w:rsidRPr="005737BF" w:rsidRDefault="00144C9E" w:rsidP="00346D99">
      <w:pPr>
        <w:jc w:val="both"/>
        <w:rPr>
          <w:rFonts w:ascii="Arial" w:hAnsi="Arial" w:cs="Arial"/>
          <w:b/>
          <w:bCs/>
          <w:color w:val="000000"/>
          <w:kern w:val="0"/>
          <w:lang w:val="pt-BR"/>
        </w:rPr>
        <w:sectPr w:rsidR="00144C9E" w:rsidRPr="005737BF" w:rsidSect="00144C9E">
          <w:type w:val="continuous"/>
          <w:pgSz w:w="12240" w:h="15840"/>
          <w:pgMar w:top="1304" w:right="1304" w:bottom="1304" w:left="1304" w:header="709" w:footer="709" w:gutter="0"/>
          <w:cols w:space="708"/>
          <w:docGrid w:linePitch="360"/>
        </w:sectPr>
      </w:pPr>
    </w:p>
    <w:p w14:paraId="120A0E7C" w14:textId="7343F238" w:rsidR="00C56117" w:rsidRPr="00144C9E" w:rsidRDefault="00346D99" w:rsidP="00144C9E">
      <w:pPr>
        <w:spacing w:after="120"/>
        <w:jc w:val="both"/>
        <w:rPr>
          <w:rFonts w:ascii="Arial" w:hAnsi="Arial" w:cs="Arial"/>
          <w:b/>
          <w:bCs/>
          <w:color w:val="000000"/>
          <w:kern w:val="0"/>
          <w:lang w:val="pt-BR"/>
        </w:rPr>
      </w:pPr>
      <w:r w:rsidRPr="005737BF">
        <w:rPr>
          <w:rFonts w:ascii="Arial" w:hAnsi="Arial" w:cs="Arial"/>
          <w:b/>
          <w:bCs/>
          <w:color w:val="000000"/>
          <w:kern w:val="0"/>
          <w:lang w:val="pt-BR"/>
        </w:rPr>
        <w:t>Overview</w:t>
      </w:r>
    </w:p>
    <w:p w14:paraId="05293B23" w14:textId="37C54EEA" w:rsidR="00CC2866" w:rsidRDefault="002273DE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procurement of </w:t>
      </w:r>
      <w:r w:rsidR="005F73D3">
        <w:rPr>
          <w:rFonts w:ascii="Times New Roman" w:hAnsi="Times New Roman" w:cs="Times New Roman"/>
          <w:sz w:val="20"/>
          <w:szCs w:val="20"/>
          <w:lang w:val="en-US"/>
        </w:rPr>
        <w:t>power supply</w:t>
      </w:r>
      <w:r w:rsidR="007D6F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3A7A">
        <w:rPr>
          <w:rFonts w:ascii="Times New Roman" w:hAnsi="Times New Roman" w:cs="Times New Roman"/>
          <w:sz w:val="20"/>
          <w:szCs w:val="20"/>
          <w:lang w:val="en-US"/>
        </w:rPr>
        <w:t>to meet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F73D3">
        <w:rPr>
          <w:rFonts w:ascii="Times New Roman" w:hAnsi="Times New Roman" w:cs="Times New Roman"/>
          <w:sz w:val="20"/>
          <w:szCs w:val="20"/>
          <w:lang w:val="en-US"/>
        </w:rPr>
        <w:t xml:space="preserve">future </w:t>
      </w:r>
      <w:r>
        <w:rPr>
          <w:rFonts w:ascii="Times New Roman" w:hAnsi="Times New Roman" w:cs="Times New Roman"/>
          <w:sz w:val="20"/>
          <w:szCs w:val="20"/>
          <w:lang w:val="en-US"/>
        </w:rPr>
        <w:t>load</w:t>
      </w:r>
      <w:r w:rsidR="00723A7A">
        <w:rPr>
          <w:rFonts w:ascii="Times New Roman" w:hAnsi="Times New Roman" w:cs="Times New Roman"/>
          <w:sz w:val="20"/>
          <w:szCs w:val="20"/>
          <w:lang w:val="en-US"/>
        </w:rPr>
        <w:t xml:space="preserve"> is complex</w:t>
      </w:r>
      <w:r w:rsidR="004F1C37">
        <w:rPr>
          <w:rFonts w:ascii="Times New Roman" w:hAnsi="Times New Roman" w:cs="Times New Roman"/>
          <w:sz w:val="20"/>
          <w:szCs w:val="20"/>
          <w:lang w:val="en-US"/>
        </w:rPr>
        <w:t xml:space="preserve"> because it </w:t>
      </w:r>
      <w:r w:rsidR="00482920">
        <w:rPr>
          <w:rFonts w:ascii="Times New Roman" w:hAnsi="Times New Roman" w:cs="Times New Roman"/>
          <w:sz w:val="20"/>
          <w:szCs w:val="20"/>
          <w:lang w:val="en-US"/>
        </w:rPr>
        <w:t>requires a combination of various</w:t>
      </w:r>
      <w:r w:rsidR="002958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>power suppl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 xml:space="preserve">y </w:t>
      </w:r>
      <w:r w:rsidR="00461A27">
        <w:rPr>
          <w:rFonts w:ascii="Times New Roman" w:hAnsi="Times New Roman" w:cs="Times New Roman"/>
          <w:sz w:val="20"/>
          <w:szCs w:val="20"/>
          <w:lang w:val="en-US"/>
        </w:rPr>
        <w:t>attributes</w:t>
      </w:r>
      <w:r w:rsidR="00D861E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6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56117">
        <w:rPr>
          <w:rFonts w:ascii="Times New Roman" w:hAnsi="Times New Roman" w:cs="Times New Roman"/>
          <w:sz w:val="20"/>
          <w:szCs w:val="20"/>
          <w:lang w:val="en-US"/>
        </w:rPr>
        <w:t xml:space="preserve">With the growing share of variable generation, power systems must ensure a proper mix of power resources to be able to meet the net load profile. </w:t>
      </w:r>
      <w:r w:rsidR="00097DA3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54CA0">
        <w:rPr>
          <w:rFonts w:ascii="Times New Roman" w:hAnsi="Times New Roman" w:cs="Times New Roman"/>
          <w:sz w:val="20"/>
          <w:szCs w:val="20"/>
          <w:lang w:val="en-US"/>
        </w:rPr>
        <w:t xml:space="preserve">ogether power suppliers must be able to </w:t>
      </w:r>
      <w:r w:rsidR="00E43F52">
        <w:rPr>
          <w:rFonts w:ascii="Times New Roman" w:hAnsi="Times New Roman" w:cs="Times New Roman"/>
          <w:sz w:val="20"/>
          <w:szCs w:val="20"/>
          <w:lang w:val="en-US"/>
        </w:rPr>
        <w:t>meet</w:t>
      </w:r>
      <w:r w:rsidR="00D861E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E43F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861E2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D861E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D861E2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E43F52">
        <w:rPr>
          <w:rFonts w:ascii="Times New Roman" w:hAnsi="Times New Roman" w:cs="Times New Roman"/>
          <w:sz w:val="20"/>
          <w:szCs w:val="20"/>
          <w:lang w:val="en-US"/>
        </w:rPr>
        <w:t>total projected consumption over a particular period</w:t>
      </w:r>
      <w:r w:rsidR="00E52C12">
        <w:rPr>
          <w:rFonts w:ascii="Times New Roman" w:hAnsi="Times New Roman" w:cs="Times New Roman"/>
          <w:sz w:val="20"/>
          <w:szCs w:val="20"/>
          <w:lang w:val="en-US"/>
        </w:rPr>
        <w:t xml:space="preserve"> (MWh</w:t>
      </w:r>
      <w:r w:rsidR="00E43F5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E52C12">
        <w:rPr>
          <w:rFonts w:ascii="Times New Roman" w:hAnsi="Times New Roman" w:cs="Times New Roman"/>
          <w:sz w:val="20"/>
          <w:szCs w:val="20"/>
          <w:lang w:val="en-US"/>
        </w:rPr>
        <w:t>year)</w:t>
      </w:r>
      <w:r w:rsidR="00D861E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B4E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3E11">
        <w:rPr>
          <w:rFonts w:ascii="Times New Roman" w:hAnsi="Times New Roman" w:cs="Times New Roman"/>
          <w:sz w:val="20"/>
          <w:szCs w:val="20"/>
          <w:lang w:val="en-US"/>
        </w:rPr>
        <w:t>(ii)</w:t>
      </w:r>
      <w:r w:rsidR="00021E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7A1C">
        <w:rPr>
          <w:rFonts w:ascii="Times New Roman" w:hAnsi="Times New Roman" w:cs="Times New Roman"/>
          <w:sz w:val="20"/>
          <w:szCs w:val="20"/>
          <w:lang w:val="en-US"/>
        </w:rPr>
        <w:t>peak demand</w:t>
      </w:r>
      <w:r w:rsidR="00021E25">
        <w:rPr>
          <w:rFonts w:ascii="Times New Roman" w:hAnsi="Times New Roman" w:cs="Times New Roman"/>
          <w:sz w:val="20"/>
          <w:szCs w:val="20"/>
          <w:lang w:val="en-US"/>
        </w:rPr>
        <w:t xml:space="preserve"> (MW)</w:t>
      </w:r>
      <w:r w:rsidR="00703E1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B4EEF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703E11">
        <w:rPr>
          <w:rFonts w:ascii="Times New Roman" w:hAnsi="Times New Roman" w:cs="Times New Roman"/>
          <w:sz w:val="20"/>
          <w:szCs w:val="20"/>
          <w:lang w:val="en-US"/>
        </w:rPr>
        <w:t>(iii)</w:t>
      </w:r>
      <w:r w:rsidR="009B7ED6">
        <w:rPr>
          <w:rFonts w:ascii="Times New Roman" w:hAnsi="Times New Roman" w:cs="Times New Roman"/>
          <w:sz w:val="20"/>
          <w:szCs w:val="20"/>
          <w:lang w:val="en-US"/>
        </w:rPr>
        <w:t xml:space="preserve"> load ramping </w:t>
      </w:r>
      <w:r w:rsidR="00FC3361">
        <w:rPr>
          <w:rFonts w:ascii="Times New Roman" w:hAnsi="Times New Roman" w:cs="Times New Roman"/>
          <w:sz w:val="20"/>
          <w:szCs w:val="20"/>
          <w:lang w:val="en-US"/>
        </w:rPr>
        <w:t>requirements (</w:t>
      </w:r>
      <w:r w:rsidR="00540732">
        <w:rPr>
          <w:rFonts w:ascii="Times New Roman" w:hAnsi="Times New Roman" w:cs="Times New Roman"/>
          <w:sz w:val="20"/>
          <w:szCs w:val="20"/>
          <w:lang w:val="en-US"/>
        </w:rPr>
        <w:t xml:space="preserve">i.e., </w:t>
      </w:r>
      <w:r w:rsidR="00FC3361">
        <w:rPr>
          <w:rFonts w:ascii="Times New Roman" w:hAnsi="Times New Roman" w:cs="Times New Roman"/>
          <w:sz w:val="20"/>
          <w:szCs w:val="20"/>
          <w:lang w:val="en-US"/>
        </w:rPr>
        <w:t xml:space="preserve">capacity to increase or decrease supply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 xml:space="preserve">at a certain rate </w:t>
      </w:r>
      <w:r w:rsidR="00FC3361">
        <w:rPr>
          <w:rFonts w:ascii="Times New Roman" w:hAnsi="Times New Roman" w:cs="Times New Roman"/>
          <w:sz w:val="20"/>
          <w:szCs w:val="20"/>
          <w:lang w:val="en-US"/>
        </w:rPr>
        <w:t>MW/</w:t>
      </w:r>
      <w:r w:rsidR="00540732">
        <w:rPr>
          <w:rFonts w:ascii="Times New Roman" w:hAnsi="Times New Roman" w:cs="Times New Roman"/>
          <w:sz w:val="20"/>
          <w:szCs w:val="20"/>
          <w:lang w:val="en-US"/>
        </w:rPr>
        <w:t>minute)</w:t>
      </w:r>
      <w:r w:rsidR="004B4EE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F0F798C" w14:textId="58E6FA62" w:rsidR="00E1111B" w:rsidRPr="003E1A85" w:rsidRDefault="00CC2866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Designing an auction to </w:t>
      </w:r>
      <w:r w:rsidR="00597C4D">
        <w:rPr>
          <w:rFonts w:ascii="Times New Roman" w:hAnsi="Times New Roman" w:cs="Times New Roman"/>
          <w:sz w:val="20"/>
          <w:szCs w:val="20"/>
          <w:lang w:val="en-US"/>
        </w:rPr>
        <w:t xml:space="preserve">procure a particular mix of these </w:t>
      </w:r>
      <w:r w:rsidR="00B91A61">
        <w:rPr>
          <w:rFonts w:ascii="Times New Roman" w:hAnsi="Times New Roman" w:cs="Times New Roman"/>
          <w:sz w:val="20"/>
          <w:szCs w:val="20"/>
          <w:lang w:val="en-US"/>
        </w:rPr>
        <w:t xml:space="preserve">various </w:t>
      </w:r>
      <w:r w:rsidR="00597C4D">
        <w:rPr>
          <w:rFonts w:ascii="Times New Roman" w:hAnsi="Times New Roman" w:cs="Times New Roman"/>
          <w:sz w:val="20"/>
          <w:szCs w:val="20"/>
          <w:lang w:val="en-US"/>
        </w:rPr>
        <w:t xml:space="preserve">attributes is complex because </w:t>
      </w:r>
      <w:r w:rsidR="005622CE">
        <w:rPr>
          <w:rFonts w:ascii="Times New Roman" w:hAnsi="Times New Roman" w:cs="Times New Roman"/>
          <w:sz w:val="20"/>
          <w:szCs w:val="20"/>
          <w:lang w:val="en-US"/>
        </w:rPr>
        <w:t>each</w:t>
      </w:r>
      <w:r w:rsidR="00597C4D">
        <w:rPr>
          <w:rFonts w:ascii="Times New Roman" w:hAnsi="Times New Roman" w:cs="Times New Roman"/>
          <w:sz w:val="20"/>
          <w:szCs w:val="20"/>
          <w:lang w:val="en-US"/>
        </w:rPr>
        <w:t xml:space="preserve"> power source</w:t>
      </w:r>
      <w:r w:rsidR="005622C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7C4D">
        <w:rPr>
          <w:rFonts w:ascii="Times New Roman" w:hAnsi="Times New Roman" w:cs="Times New Roman"/>
          <w:sz w:val="20"/>
          <w:szCs w:val="20"/>
          <w:lang w:val="en-US"/>
        </w:rPr>
        <w:t>(i.e. generation technolog</w:t>
      </w:r>
      <w:r w:rsidR="005622CE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986361">
        <w:rPr>
          <w:rFonts w:ascii="Times New Roman" w:hAnsi="Times New Roman" w:cs="Times New Roman"/>
          <w:sz w:val="20"/>
          <w:szCs w:val="20"/>
          <w:lang w:val="en-US"/>
        </w:rPr>
        <w:t>) present</w:t>
      </w:r>
      <w:r w:rsidR="005622C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863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22CE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986361">
        <w:rPr>
          <w:rFonts w:ascii="Times New Roman" w:hAnsi="Times New Roman" w:cs="Times New Roman"/>
          <w:sz w:val="20"/>
          <w:szCs w:val="20"/>
          <w:lang w:val="en-US"/>
        </w:rPr>
        <w:t xml:space="preserve">different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>combination</w:t>
      </w:r>
      <w:r w:rsidR="00986361">
        <w:rPr>
          <w:rFonts w:ascii="Times New Roman" w:hAnsi="Times New Roman" w:cs="Times New Roman"/>
          <w:sz w:val="20"/>
          <w:szCs w:val="20"/>
          <w:lang w:val="en-US"/>
        </w:rPr>
        <w:t xml:space="preserve"> of attributes. </w:t>
      </w:r>
      <w:r w:rsidR="001E135E">
        <w:rPr>
          <w:rFonts w:ascii="Times New Roman" w:hAnsi="Times New Roman" w:cs="Times New Roman"/>
          <w:sz w:val="20"/>
          <w:szCs w:val="20"/>
          <w:lang w:val="en-US"/>
        </w:rPr>
        <w:t xml:space="preserve">Thus, one of the main challenges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>is to design</w:t>
      </w:r>
      <w:r w:rsidR="001E13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="001E135E">
        <w:rPr>
          <w:rFonts w:ascii="Times New Roman" w:hAnsi="Times New Roman" w:cs="Times New Roman"/>
          <w:sz w:val="20"/>
          <w:szCs w:val="20"/>
          <w:lang w:val="en-US"/>
        </w:rPr>
        <w:t xml:space="preserve">auction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proofErr w:type="gramStart"/>
      <w:r w:rsidR="00ED55FD">
        <w:rPr>
          <w:rFonts w:ascii="Times New Roman" w:hAnsi="Times New Roman" w:cs="Times New Roman"/>
          <w:sz w:val="20"/>
          <w:szCs w:val="20"/>
          <w:lang w:val="en-US"/>
        </w:rPr>
        <w:t>is able to</w:t>
      </w:r>
      <w:proofErr w:type="gramEnd"/>
      <w:r w:rsidR="00ED55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135E">
        <w:rPr>
          <w:rFonts w:ascii="Times New Roman" w:hAnsi="Times New Roman" w:cs="Times New Roman"/>
          <w:sz w:val="20"/>
          <w:szCs w:val="20"/>
          <w:lang w:val="en-US"/>
        </w:rPr>
        <w:t xml:space="preserve">coordinate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>procurement of new power plants</w:t>
      </w:r>
      <w:r w:rsidR="001E13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>so that</w:t>
      </w:r>
      <w:r w:rsidR="00111649">
        <w:rPr>
          <w:rFonts w:ascii="Times New Roman" w:hAnsi="Times New Roman" w:cs="Times New Roman"/>
          <w:sz w:val="20"/>
          <w:szCs w:val="20"/>
          <w:lang w:val="en-US"/>
        </w:rPr>
        <w:t xml:space="preserve"> aggregate supply meets the demand </w:t>
      </w:r>
      <w:r w:rsidR="00ED55FD">
        <w:rPr>
          <w:rFonts w:ascii="Times New Roman" w:hAnsi="Times New Roman" w:cs="Times New Roman"/>
          <w:sz w:val="20"/>
          <w:szCs w:val="20"/>
          <w:lang w:val="en-US"/>
        </w:rPr>
        <w:t xml:space="preserve">of each of the power system required </w:t>
      </w:r>
      <w:r w:rsidR="00111649">
        <w:rPr>
          <w:rFonts w:ascii="Times New Roman" w:hAnsi="Times New Roman" w:cs="Times New Roman"/>
          <w:sz w:val="20"/>
          <w:szCs w:val="20"/>
          <w:lang w:val="en-US"/>
        </w:rPr>
        <w:t>attributes at least cost.</w:t>
      </w:r>
      <w:r w:rsidR="00C66F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AFE6F01" w14:textId="77777777" w:rsidR="0060087C" w:rsidRPr="003E1A85" w:rsidRDefault="0060087C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CA68B6" w14:textId="21E55425" w:rsidR="00C56117" w:rsidRDefault="00346D99" w:rsidP="00144C9E">
      <w:pPr>
        <w:spacing w:after="120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t>Methods</w:t>
      </w:r>
    </w:p>
    <w:p w14:paraId="58BDC1BE" w14:textId="11165297" w:rsidR="006C7001" w:rsidRDefault="006C7001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first 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>st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to effectively procure power resources to meet future needs is product delineation. One must diagnose what are the attributes that are expected to become scarce in the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 xml:space="preserve"> electric power system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val="en-US"/>
        </w:rPr>
        <w:t>coming years. Based on this analysis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one can identify how products should be defined.</w:t>
      </w:r>
    </w:p>
    <w:p w14:paraId="2DC7682C" w14:textId="2016B1AE" w:rsidR="00415138" w:rsidRDefault="006C7001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second 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>step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is to determine how to best procure the supply of the chosen products. </w:t>
      </w:r>
      <w:r w:rsidR="000B726F">
        <w:rPr>
          <w:rFonts w:ascii="Times New Roman" w:hAnsi="Times New Roman" w:cs="Times New Roman"/>
          <w:sz w:val="20"/>
          <w:szCs w:val="20"/>
          <w:lang w:val="en-US"/>
        </w:rPr>
        <w:t xml:space="preserve">The auction theory literature provides guidance on how to structure </w:t>
      </w:r>
      <w:r w:rsidR="007B49F0">
        <w:rPr>
          <w:rFonts w:ascii="Times New Roman" w:hAnsi="Times New Roman" w:cs="Times New Roman"/>
          <w:sz w:val="20"/>
          <w:szCs w:val="20"/>
          <w:lang w:val="en-US"/>
        </w:rPr>
        <w:t>auctions to meet the challenges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interdependent pricing of multiple products</w:t>
      </w:r>
      <w:r w:rsidR="007B49F0">
        <w:rPr>
          <w:rFonts w:ascii="Times New Roman" w:hAnsi="Times New Roman" w:cs="Times New Roman"/>
          <w:sz w:val="20"/>
          <w:szCs w:val="20"/>
          <w:lang w:val="en-US"/>
        </w:rPr>
        <w:t xml:space="preserve">. The acquisition of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>a particular combination of</w:t>
      </w:r>
      <w:r w:rsidR="007B49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 xml:space="preserve">power supply </w:t>
      </w:r>
      <w:r w:rsidR="007B49F0">
        <w:rPr>
          <w:rFonts w:ascii="Times New Roman" w:hAnsi="Times New Roman" w:cs="Times New Roman"/>
          <w:sz w:val="20"/>
          <w:szCs w:val="20"/>
          <w:lang w:val="en-US"/>
        </w:rPr>
        <w:t xml:space="preserve">attributes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 xml:space="preserve">to meet system needs from different suppliers –each of which offers a bundle of the various attributes in </w:t>
      </w:r>
      <w:r w:rsidR="007B49F0">
        <w:rPr>
          <w:rFonts w:ascii="Times New Roman" w:hAnsi="Times New Roman" w:cs="Times New Roman"/>
          <w:sz w:val="20"/>
          <w:szCs w:val="20"/>
          <w:lang w:val="en-US"/>
        </w:rPr>
        <w:t xml:space="preserve">fixed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 xml:space="preserve">proportions– </w:t>
      </w:r>
      <w:r w:rsidR="00833F52">
        <w:rPr>
          <w:rFonts w:ascii="Times New Roman" w:hAnsi="Times New Roman" w:cs="Times New Roman"/>
          <w:sz w:val="20"/>
          <w:szCs w:val="20"/>
          <w:lang w:val="en-US"/>
        </w:rPr>
        <w:t xml:space="preserve">is analogous to </w:t>
      </w:r>
      <w:r w:rsidR="00415138">
        <w:rPr>
          <w:rFonts w:ascii="Times New Roman" w:hAnsi="Times New Roman" w:cs="Times New Roman"/>
          <w:sz w:val="20"/>
          <w:szCs w:val="20"/>
          <w:lang w:val="en-US"/>
        </w:rPr>
        <w:t xml:space="preserve">the procurement of </w:t>
      </w:r>
      <w:r w:rsidR="00833F52">
        <w:rPr>
          <w:rFonts w:ascii="Times New Roman" w:hAnsi="Times New Roman" w:cs="Times New Roman"/>
          <w:sz w:val="20"/>
          <w:szCs w:val="20"/>
          <w:lang w:val="en-US"/>
        </w:rPr>
        <w:t xml:space="preserve">products </w:t>
      </w:r>
      <w:r w:rsidR="00A963B8">
        <w:rPr>
          <w:rFonts w:ascii="Times New Roman" w:hAnsi="Times New Roman" w:cs="Times New Roman"/>
          <w:sz w:val="20"/>
          <w:szCs w:val="20"/>
          <w:lang w:val="en-US"/>
        </w:rPr>
        <w:t>with complementarities</w:t>
      </w:r>
      <w:r w:rsidR="000F057B">
        <w:rPr>
          <w:rFonts w:ascii="Times New Roman" w:hAnsi="Times New Roman" w:cs="Times New Roman"/>
          <w:sz w:val="20"/>
          <w:szCs w:val="20"/>
          <w:lang w:val="en-US"/>
        </w:rPr>
        <w:t xml:space="preserve">, since the producer can only optimally price each product (attribute) when the price of the other products </w:t>
      </w:r>
      <w:proofErr w:type="gramStart"/>
      <w:r w:rsidR="000F057B">
        <w:rPr>
          <w:rFonts w:ascii="Times New Roman" w:hAnsi="Times New Roman" w:cs="Times New Roman"/>
          <w:sz w:val="20"/>
          <w:szCs w:val="20"/>
          <w:lang w:val="en-US"/>
        </w:rPr>
        <w:t>are</w:t>
      </w:r>
      <w:proofErr w:type="gramEnd"/>
      <w:r w:rsidR="000F057B">
        <w:rPr>
          <w:rFonts w:ascii="Times New Roman" w:hAnsi="Times New Roman" w:cs="Times New Roman"/>
          <w:sz w:val="20"/>
          <w:szCs w:val="20"/>
          <w:lang w:val="en-US"/>
        </w:rPr>
        <w:t xml:space="preserve"> known. </w:t>
      </w:r>
    </w:p>
    <w:p w14:paraId="2884062E" w14:textId="149A6A1A" w:rsidR="00937F4C" w:rsidRDefault="00192FDE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F057B">
        <w:rPr>
          <w:rFonts w:ascii="Times New Roman" w:hAnsi="Times New Roman" w:cs="Times New Roman"/>
          <w:sz w:val="20"/>
          <w:szCs w:val="20"/>
          <w:lang w:val="en-US"/>
        </w:rPr>
        <w:t>o overcome this difficulty, t</w:t>
      </w:r>
      <w:r>
        <w:rPr>
          <w:rFonts w:ascii="Times New Roman" w:hAnsi="Times New Roman" w:cs="Times New Roman"/>
          <w:sz w:val="20"/>
          <w:szCs w:val="20"/>
          <w:lang w:val="en-US"/>
        </w:rPr>
        <w:t>he recommend</w:t>
      </w:r>
      <w:r w:rsidR="000F057B">
        <w:rPr>
          <w:rFonts w:ascii="Times New Roman" w:hAnsi="Times New Roman" w:cs="Times New Roman"/>
          <w:sz w:val="20"/>
          <w:szCs w:val="20"/>
          <w:lang w:val="en-US"/>
        </w:rPr>
        <w:t xml:space="preserve">ation is to auction </w:t>
      </w:r>
      <w:r w:rsidR="00BE59F9">
        <w:rPr>
          <w:rFonts w:ascii="Times New Roman" w:hAnsi="Times New Roman" w:cs="Times New Roman"/>
          <w:sz w:val="20"/>
          <w:szCs w:val="20"/>
          <w:lang w:val="en-US"/>
        </w:rPr>
        <w:t xml:space="preserve">all products (attributes) in a single combinatorial auction. This enables 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>producers</w:t>
      </w:r>
      <w:r w:rsidR="00BE59F9">
        <w:rPr>
          <w:rFonts w:ascii="Times New Roman" w:hAnsi="Times New Roman" w:cs="Times New Roman"/>
          <w:sz w:val="20"/>
          <w:szCs w:val="20"/>
          <w:lang w:val="en-US"/>
        </w:rPr>
        <w:t xml:space="preserve"> to submit bids for different combinations of the various products.</w:t>
      </w:r>
    </w:p>
    <w:p w14:paraId="1A049B77" w14:textId="5AD30EC3" w:rsidR="00C56117" w:rsidRDefault="00937F4C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Auction </w:t>
      </w:r>
      <w:r w:rsidR="005478BA">
        <w:rPr>
          <w:rFonts w:ascii="Times New Roman" w:hAnsi="Times New Roman" w:cs="Times New Roman"/>
          <w:sz w:val="20"/>
          <w:szCs w:val="20"/>
          <w:lang w:val="en-US"/>
        </w:rPr>
        <w:t>theory points out there are tradeoffs</w:t>
      </w:r>
      <w:r w:rsidR="005E1B5A">
        <w:rPr>
          <w:rFonts w:ascii="Times New Roman" w:hAnsi="Times New Roman" w:cs="Times New Roman"/>
          <w:sz w:val="20"/>
          <w:szCs w:val="20"/>
          <w:lang w:val="en-US"/>
        </w:rPr>
        <w:t xml:space="preserve"> that must be considered. </w:t>
      </w:r>
      <w:r w:rsidR="00A1643A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“VCG Auction” (Vickery-Clarke-Groves Auction) </w:t>
      </w:r>
      <w:r w:rsidR="00A1643A">
        <w:rPr>
          <w:rFonts w:ascii="Times New Roman" w:hAnsi="Times New Roman" w:cs="Times New Roman"/>
          <w:sz w:val="20"/>
          <w:szCs w:val="20"/>
          <w:lang w:val="en-US"/>
        </w:rPr>
        <w:t>pr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ovides the</w:t>
      </w:r>
      <w:r w:rsidR="00A1643A">
        <w:rPr>
          <w:rFonts w:ascii="Times New Roman" w:hAnsi="Times New Roman" w:cs="Times New Roman"/>
          <w:sz w:val="20"/>
          <w:szCs w:val="20"/>
          <w:lang w:val="en-US"/>
        </w:rPr>
        <w:t xml:space="preserve"> incentives for players to bid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based on </w:t>
      </w:r>
      <w:r w:rsidR="00A1643A">
        <w:rPr>
          <w:rFonts w:ascii="Times New Roman" w:hAnsi="Times New Roman" w:cs="Times New Roman"/>
          <w:sz w:val="20"/>
          <w:szCs w:val="20"/>
          <w:lang w:val="en-US"/>
        </w:rPr>
        <w:t>their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 true</w:t>
      </w:r>
      <w:r w:rsidR="00A1643A">
        <w:rPr>
          <w:rFonts w:ascii="Times New Roman" w:hAnsi="Times New Roman" w:cs="Times New Roman"/>
          <w:sz w:val="20"/>
          <w:szCs w:val="20"/>
          <w:lang w:val="en-US"/>
        </w:rPr>
        <w:t xml:space="preserve"> preferences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, which ensures an efficient allocation, as </w:t>
      </w:r>
      <w:r w:rsidR="00014E7B">
        <w:rPr>
          <w:rFonts w:ascii="Times New Roman" w:hAnsi="Times New Roman" w:cs="Times New Roman"/>
          <w:sz w:val="20"/>
          <w:szCs w:val="20"/>
          <w:lang w:val="en-US"/>
        </w:rPr>
        <w:t xml:space="preserve">a Vickery Auction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(Second-Price Auction) does </w:t>
      </w:r>
      <w:r w:rsidR="00014E7B">
        <w:rPr>
          <w:rFonts w:ascii="Times New Roman" w:hAnsi="Times New Roman" w:cs="Times New Roman"/>
          <w:sz w:val="20"/>
          <w:szCs w:val="20"/>
          <w:lang w:val="en-US"/>
        </w:rPr>
        <w:t xml:space="preserve">in the context of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a single</w:t>
      </w:r>
      <w:r w:rsidR="00014E7B">
        <w:rPr>
          <w:rFonts w:ascii="Times New Roman" w:hAnsi="Times New Roman" w:cs="Times New Roman"/>
          <w:sz w:val="20"/>
          <w:szCs w:val="20"/>
          <w:lang w:val="en-US"/>
        </w:rPr>
        <w:t xml:space="preserve"> good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14E7B">
        <w:rPr>
          <w:rFonts w:ascii="Times New Roman" w:hAnsi="Times New Roman" w:cs="Times New Roman"/>
          <w:sz w:val="20"/>
          <w:szCs w:val="20"/>
          <w:lang w:val="en-US"/>
        </w:rPr>
        <w:t xml:space="preserve">However,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this auction may not be desirable 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from a distributive perspective,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because it results in large</w:t>
      </w:r>
      <w:r w:rsidR="00014E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4FEB">
        <w:rPr>
          <w:rFonts w:ascii="Times New Roman" w:hAnsi="Times New Roman" w:cs="Times New Roman"/>
          <w:sz w:val="20"/>
          <w:szCs w:val="20"/>
          <w:lang w:val="en-US"/>
        </w:rPr>
        <w:t xml:space="preserve">rents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agents (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producers that actively participate in the auction as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bidders)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he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>se large rents make the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 auction unattractive to </w:t>
      </w:r>
      <w:r w:rsidR="00E97C2B">
        <w:rPr>
          <w:rFonts w:ascii="Times New Roman" w:hAnsi="Times New Roman" w:cs="Times New Roman"/>
          <w:sz w:val="20"/>
          <w:szCs w:val="20"/>
          <w:lang w:val="en-US"/>
        </w:rPr>
        <w:t>the principal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(buyer) </w:t>
      </w:r>
      <w:r w:rsidR="006F7F26">
        <w:rPr>
          <w:rFonts w:ascii="Times New Roman" w:hAnsi="Times New Roman" w:cs="Times New Roman"/>
          <w:sz w:val="20"/>
          <w:szCs w:val="20"/>
          <w:lang w:val="en-US"/>
        </w:rPr>
        <w:t>that commissions the auction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 to purchase the products</w:t>
      </w:r>
      <w:r w:rsidR="00E97C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>In this context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183014">
        <w:rPr>
          <w:rFonts w:ascii="Times New Roman" w:hAnsi="Times New Roman" w:cs="Times New Roman"/>
          <w:sz w:val="20"/>
          <w:szCs w:val="20"/>
          <w:lang w:val="en-US"/>
        </w:rPr>
        <w:t xml:space="preserve">hybrid auction design 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>is generally</w:t>
      </w:r>
      <w:r w:rsidR="00862873">
        <w:rPr>
          <w:rFonts w:ascii="Times New Roman" w:hAnsi="Times New Roman" w:cs="Times New Roman"/>
          <w:sz w:val="20"/>
          <w:szCs w:val="20"/>
          <w:lang w:val="en-US"/>
        </w:rPr>
        <w:t xml:space="preserve"> better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 suited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44C9E">
        <w:rPr>
          <w:rFonts w:ascii="Times New Roman" w:hAnsi="Times New Roman" w:cs="Times New Roman"/>
          <w:sz w:val="20"/>
          <w:szCs w:val="20"/>
          <w:lang w:val="en-US"/>
        </w:rPr>
        <w:t xml:space="preserve">By sequentially combining two different auction designs, one </w:t>
      </w:r>
      <w:r w:rsidR="005737BF">
        <w:rPr>
          <w:rFonts w:ascii="Times New Roman" w:hAnsi="Times New Roman" w:cs="Times New Roman"/>
          <w:sz w:val="20"/>
          <w:szCs w:val="20"/>
          <w:lang w:val="en-US"/>
        </w:rPr>
        <w:t xml:space="preserve">can </w:t>
      </w:r>
      <w:r w:rsidR="00144C9E">
        <w:rPr>
          <w:rFonts w:ascii="Times New Roman" w:hAnsi="Times New Roman" w:cs="Times New Roman"/>
          <w:sz w:val="20"/>
          <w:szCs w:val="20"/>
          <w:lang w:val="en-US"/>
        </w:rPr>
        <w:t>achieve the selection of the producers that are apt to supply the required combination of attributes at least cost, while obtaining a lower price for the buyers</w:t>
      </w:r>
      <w:r w:rsidR="00EE1373">
        <w:rPr>
          <w:rFonts w:ascii="Times New Roman" w:hAnsi="Times New Roman" w:cs="Times New Roman"/>
          <w:sz w:val="20"/>
          <w:szCs w:val="20"/>
          <w:lang w:val="en-US"/>
        </w:rPr>
        <w:t xml:space="preserve">. The auction design that is most used in this context is the Combinatorial Clock Auction. </w:t>
      </w:r>
    </w:p>
    <w:p w14:paraId="78D7B144" w14:textId="77777777" w:rsidR="00C56117" w:rsidRPr="003E1A85" w:rsidRDefault="00C56117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4A1D630" w14:textId="40F06FAB" w:rsidR="00C56117" w:rsidRDefault="00346D99" w:rsidP="00144C9E">
      <w:pPr>
        <w:spacing w:after="120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lastRenderedPageBreak/>
        <w:t>Results</w:t>
      </w:r>
    </w:p>
    <w:p w14:paraId="041F7EA1" w14:textId="2FB251E5" w:rsidR="003D58B6" w:rsidRDefault="003D58B6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Brazil’s future power supply needs can be appropriately met with the procurement of three products:</w:t>
      </w:r>
    </w:p>
    <w:p w14:paraId="3EBEEC2B" w14:textId="77777777" w:rsidR="003D58B6" w:rsidRDefault="003D58B6" w:rsidP="00144C9E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3D58B6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reliability options, </w:t>
      </w:r>
    </w:p>
    <w:p w14:paraId="30C4ADC6" w14:textId="77777777" w:rsidR="003D58B6" w:rsidRDefault="003D58B6" w:rsidP="00144C9E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3D58B6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peak-demand capacity, and </w:t>
      </w:r>
    </w:p>
    <w:p w14:paraId="0435F303" w14:textId="6FE423EC" w:rsidR="003D58B6" w:rsidRPr="00144C9E" w:rsidRDefault="003D58B6" w:rsidP="00144C9E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3D58B6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flexible capacity.</w:t>
      </w:r>
    </w:p>
    <w:p w14:paraId="56FBFACD" w14:textId="31C56FB3" w:rsidR="00750A7A" w:rsidRDefault="00750A7A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proposed auction design </w:t>
      </w:r>
      <w:r w:rsidR="003D58B6">
        <w:rPr>
          <w:rFonts w:ascii="Times New Roman" w:hAnsi="Times New Roman" w:cs="Times New Roman"/>
          <w:sz w:val="20"/>
          <w:szCs w:val="20"/>
          <w:lang w:val="en-US"/>
        </w:rPr>
        <w:t xml:space="preserve">to implement the acquisition of these three products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is a Combinatorial Clock Auction, composed of two-stages: </w:t>
      </w:r>
    </w:p>
    <w:p w14:paraId="1BD1819C" w14:textId="2667580E" w:rsidR="00750A7A" w:rsidRDefault="00750A7A" w:rsidP="00144C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1373">
        <w:rPr>
          <w:rFonts w:ascii="Times New Roman" w:hAnsi="Times New Roman" w:cs="Times New Roman"/>
          <w:sz w:val="20"/>
          <w:szCs w:val="20"/>
          <w:lang w:val="en-US"/>
        </w:rPr>
        <w:t>in the first stage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EE13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 Decreasing-Price Clock Auction is employed to </w:t>
      </w:r>
      <w:r w:rsidR="00144C9E">
        <w:rPr>
          <w:rFonts w:ascii="Times New Roman" w:hAnsi="Times New Roman" w:cs="Times New Roman"/>
          <w:sz w:val="20"/>
          <w:szCs w:val="20"/>
          <w:lang w:val="en-US"/>
        </w:rPr>
        <w:t>adjust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prices of the various products to a level at which the quantities </w:t>
      </w:r>
      <w:r w:rsidR="00144C9E">
        <w:rPr>
          <w:rFonts w:ascii="Times New Roman" w:hAnsi="Times New Roman" w:cs="Times New Roman"/>
          <w:sz w:val="20"/>
          <w:szCs w:val="20"/>
          <w:lang w:val="en-US"/>
        </w:rPr>
        <w:t xml:space="preserve">supplied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each </w:t>
      </w:r>
      <w:r w:rsidR="00144C9E">
        <w:rPr>
          <w:rFonts w:ascii="Times New Roman" w:hAnsi="Times New Roman" w:cs="Times New Roman"/>
          <w:sz w:val="20"/>
          <w:szCs w:val="20"/>
          <w:lang w:val="en-US"/>
        </w:rPr>
        <w:t>product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are slightly larger than the quantities one desires to acquire</w:t>
      </w:r>
      <w:r w:rsidRPr="00EE137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en-US"/>
        </w:rPr>
        <w:t>and</w:t>
      </w:r>
    </w:p>
    <w:p w14:paraId="19871AF0" w14:textId="1E4E5221" w:rsidR="00750A7A" w:rsidRPr="00144C9E" w:rsidRDefault="00750A7A" w:rsidP="00144C9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 the second stage, Sealed-Bid Auction is employed, in which each producer submits a single price-discount bid for their bundle of products.</w:t>
      </w:r>
    </w:p>
    <w:p w14:paraId="7534EECE" w14:textId="25E73343" w:rsidR="00346D99" w:rsidRDefault="00750A7A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auctioneer then chooses the combination of bundles that meet the demand for the various products at least cost.</w:t>
      </w:r>
    </w:p>
    <w:p w14:paraId="6A1C0252" w14:textId="77777777" w:rsidR="0060087C" w:rsidRPr="003E1A85" w:rsidRDefault="0060087C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EA999F" w14:textId="311A42A4" w:rsidR="00C56117" w:rsidRDefault="00346D99" w:rsidP="00144C9E">
      <w:pPr>
        <w:spacing w:after="120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t>Conclusions</w:t>
      </w:r>
    </w:p>
    <w:p w14:paraId="54B1AC83" w14:textId="78674DE4" w:rsidR="0060087C" w:rsidRPr="00144C9E" w:rsidRDefault="0060087C" w:rsidP="00144C9E">
      <w:pPr>
        <w:spacing w:after="12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The power supply resources</w:t>
      </w:r>
      <w:r w:rsidR="00E1627C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required to meet future load can be achieved by market mechanisms, given proper product delineation and the adoption of an adequate auction design.</w:t>
      </w:r>
    </w:p>
    <w:p w14:paraId="2979F117" w14:textId="3CC040B7" w:rsidR="00346D99" w:rsidRPr="003E1A85" w:rsidRDefault="00346D99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6976063" w14:textId="42D22CA9" w:rsidR="00346D99" w:rsidRPr="00144C9E" w:rsidRDefault="00346D99" w:rsidP="00144C9E">
      <w:pPr>
        <w:spacing w:after="120"/>
        <w:jc w:val="both"/>
        <w:rPr>
          <w:rFonts w:ascii="Arial" w:hAnsi="Arial" w:cs="Arial"/>
          <w:b/>
          <w:bCs/>
          <w:color w:val="000000"/>
          <w:kern w:val="0"/>
          <w:lang w:val="pt-BR"/>
        </w:rPr>
      </w:pPr>
      <w:proofErr w:type="spellStart"/>
      <w:r w:rsidRPr="005737BF">
        <w:rPr>
          <w:rFonts w:ascii="Arial" w:hAnsi="Arial" w:cs="Arial"/>
          <w:b/>
          <w:bCs/>
          <w:color w:val="000000"/>
          <w:kern w:val="0"/>
          <w:lang w:val="pt-BR"/>
        </w:rPr>
        <w:t>References</w:t>
      </w:r>
      <w:proofErr w:type="spellEnd"/>
    </w:p>
    <w:p w14:paraId="72C99F60" w14:textId="77777777" w:rsidR="0013689F" w:rsidRPr="00AD2D6D" w:rsidRDefault="0013689F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AD2D6D">
        <w:rPr>
          <w:rFonts w:ascii="Times New Roman" w:hAnsi="Times New Roman" w:cs="Times New Roman"/>
          <w:sz w:val="20"/>
          <w:szCs w:val="18"/>
        </w:rPr>
        <w:t xml:space="preserve">Ausubel, L. e Baranov, O. (2014). Market design and the evolution of the combinatorial clock auction. </w:t>
      </w:r>
      <w:r w:rsidRPr="00AD2D6D">
        <w:rPr>
          <w:rFonts w:ascii="Times New Roman" w:hAnsi="Times New Roman" w:cs="Times New Roman"/>
          <w:i/>
          <w:iCs/>
          <w:sz w:val="20"/>
          <w:szCs w:val="18"/>
        </w:rPr>
        <w:t>American Economic Review</w:t>
      </w:r>
      <w:r w:rsidRPr="00AD2D6D">
        <w:rPr>
          <w:rFonts w:ascii="Times New Roman" w:hAnsi="Times New Roman" w:cs="Times New Roman"/>
          <w:sz w:val="20"/>
          <w:szCs w:val="18"/>
        </w:rPr>
        <w:t xml:space="preserve"> 104(5):446–451.</w:t>
      </w:r>
    </w:p>
    <w:p w14:paraId="1A202D41" w14:textId="77777777" w:rsidR="00A47432" w:rsidRDefault="00A47432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A47432">
        <w:rPr>
          <w:rFonts w:ascii="Times New Roman" w:hAnsi="Times New Roman" w:cs="Times New Roman"/>
          <w:sz w:val="20"/>
          <w:szCs w:val="18"/>
        </w:rPr>
        <w:t>Clarke, E. (1971). Multipart pricing of public goods. Public Choice, 11:17–33.</w:t>
      </w:r>
    </w:p>
    <w:p w14:paraId="377655D0" w14:textId="3CEE397C" w:rsidR="00DB15EF" w:rsidRPr="00AD2D6D" w:rsidRDefault="00DB15EF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AD2D6D">
        <w:rPr>
          <w:rFonts w:ascii="Times New Roman" w:hAnsi="Times New Roman" w:cs="Times New Roman"/>
          <w:sz w:val="20"/>
          <w:szCs w:val="18"/>
        </w:rPr>
        <w:t xml:space="preserve">Cramton </w:t>
      </w:r>
      <w:r w:rsidRPr="00AD2D6D">
        <w:rPr>
          <w:rFonts w:ascii="Times New Roman" w:hAnsi="Times New Roman" w:cs="Times New Roman"/>
          <w:i/>
          <w:iCs/>
          <w:sz w:val="20"/>
          <w:szCs w:val="18"/>
        </w:rPr>
        <w:t>et al.</w:t>
      </w:r>
      <w:r w:rsidRPr="00AD2D6D">
        <w:rPr>
          <w:rFonts w:ascii="Times New Roman" w:hAnsi="Times New Roman" w:cs="Times New Roman"/>
          <w:sz w:val="20"/>
          <w:szCs w:val="18"/>
        </w:rPr>
        <w:t xml:space="preserve"> (2004). </w:t>
      </w:r>
      <w:r w:rsidRPr="00AD2D6D">
        <w:rPr>
          <w:rFonts w:ascii="Times New Roman" w:hAnsi="Times New Roman" w:cs="Times New Roman"/>
          <w:i/>
          <w:iCs/>
          <w:sz w:val="20"/>
          <w:szCs w:val="18"/>
        </w:rPr>
        <w:t>Combinatorial Auctions</w:t>
      </w:r>
      <w:r w:rsidRPr="00AD2D6D">
        <w:rPr>
          <w:rFonts w:ascii="Times New Roman" w:hAnsi="Times New Roman" w:cs="Times New Roman"/>
          <w:sz w:val="20"/>
          <w:szCs w:val="18"/>
        </w:rPr>
        <w:t>. Cambridge: MIT Press.</w:t>
      </w:r>
    </w:p>
    <w:p w14:paraId="470E4575" w14:textId="77777777" w:rsidR="00EF15B1" w:rsidRPr="00AD2D6D" w:rsidRDefault="00EF15B1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AD2D6D">
        <w:rPr>
          <w:rFonts w:ascii="Times New Roman" w:hAnsi="Times New Roman" w:cs="Times New Roman"/>
          <w:sz w:val="20"/>
          <w:szCs w:val="18"/>
        </w:rPr>
        <w:t xml:space="preserve">Cramton, P.; A. Ockenfels, and S. Stoft (2013). Capacity market fundamentals. </w:t>
      </w:r>
      <w:r w:rsidRPr="00AD2D6D">
        <w:rPr>
          <w:rFonts w:ascii="Times New Roman" w:hAnsi="Times New Roman" w:cs="Times New Roman"/>
          <w:i/>
          <w:iCs/>
          <w:sz w:val="20"/>
          <w:szCs w:val="18"/>
        </w:rPr>
        <w:t>Economics of Energy &amp; Environmental Policy</w:t>
      </w:r>
      <w:r w:rsidRPr="00AD2D6D">
        <w:rPr>
          <w:rFonts w:ascii="Times New Roman" w:hAnsi="Times New Roman" w:cs="Times New Roman"/>
          <w:sz w:val="20"/>
          <w:szCs w:val="18"/>
        </w:rPr>
        <w:t xml:space="preserve">, 2(2):27–46. </w:t>
      </w:r>
    </w:p>
    <w:p w14:paraId="11232647" w14:textId="77777777" w:rsidR="003A6432" w:rsidRPr="00AD2D6D" w:rsidRDefault="003A6432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  <w:lang w:val="pt-BR"/>
        </w:rPr>
      </w:pPr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Empresa de Pesquisa Energética (2021a). Metodologia de Quantificação dos Requisitos de Lastro de Produção e Capacidade. </w:t>
      </w:r>
      <w:r w:rsidRPr="00AD2D6D">
        <w:rPr>
          <w:rFonts w:ascii="Times New Roman" w:hAnsi="Times New Roman" w:cs="Times New Roman"/>
          <w:sz w:val="20"/>
          <w:szCs w:val="18"/>
          <w:shd w:val="clear" w:color="auto" w:fill="FFFFFF"/>
          <w:lang w:val="pt-BR"/>
        </w:rPr>
        <w:t>Nota Técnica EPE/DEE/133/2021-r0. Brasília: EPE</w:t>
      </w:r>
    </w:p>
    <w:p w14:paraId="0C802A24" w14:textId="77777777" w:rsidR="003A6432" w:rsidRPr="00AD2D6D" w:rsidRDefault="003A6432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  <w:lang w:val="pt-BR"/>
        </w:rPr>
      </w:pPr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Empresa de Pesquisa Energética (2021b). Metodologia de Referência para a Quantificação da Contribuição da Oferta: Lastro de Produção e Capacidade.  </w:t>
      </w:r>
      <w:r w:rsidRPr="00AD2D6D">
        <w:rPr>
          <w:rFonts w:ascii="Times New Roman" w:hAnsi="Times New Roman" w:cs="Times New Roman"/>
          <w:sz w:val="20"/>
          <w:szCs w:val="18"/>
          <w:shd w:val="clear" w:color="auto" w:fill="FFFFFF"/>
          <w:lang w:val="pt-BR"/>
        </w:rPr>
        <w:t>Nota Técnica EPE/DEE/134/2021-r0. Brasília: EPE</w:t>
      </w:r>
    </w:p>
    <w:p w14:paraId="2BDD7155" w14:textId="77777777" w:rsidR="003A6432" w:rsidRPr="00AD2D6D" w:rsidRDefault="003A6432" w:rsidP="00144C9E">
      <w:pPr>
        <w:spacing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AD2D6D">
        <w:rPr>
          <w:rFonts w:ascii="Times New Roman" w:hAnsi="Times New Roman" w:cs="Times New Roman"/>
          <w:sz w:val="20"/>
          <w:szCs w:val="18"/>
          <w:lang w:val="pt-BR"/>
        </w:rPr>
        <w:t>Empresa de Pesquisa Energética</w:t>
      </w:r>
      <w:r w:rsidRPr="00AD2D6D">
        <w:rPr>
          <w:rFonts w:ascii="Times New Roman" w:hAnsi="Times New Roman" w:cs="Times New Roman"/>
          <w:sz w:val="20"/>
          <w:szCs w:val="18"/>
          <w:shd w:val="clear" w:color="auto" w:fill="FFFFFF"/>
          <w:lang w:val="pt-BR"/>
        </w:rPr>
        <w:t xml:space="preserve"> (2021c). Precariedade de limite de oferta e mecanismo para cobertura de exposições. Nota Técnica </w:t>
      </w:r>
      <w:r w:rsidRPr="00AD2D6D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EPE/DEE/135/2021-r1</w:t>
      </w:r>
      <w:r w:rsidRPr="00AD2D6D">
        <w:rPr>
          <w:rFonts w:ascii="Times New Roman" w:hAnsi="Times New Roman" w:cs="Times New Roman"/>
          <w:sz w:val="20"/>
          <w:szCs w:val="18"/>
          <w:shd w:val="clear" w:color="auto" w:fill="FFFFFF"/>
          <w:lang w:val="pt-BR"/>
        </w:rPr>
        <w:t>. Brasília: EPE</w:t>
      </w:r>
    </w:p>
    <w:p w14:paraId="1DB34FA9" w14:textId="77777777" w:rsidR="00726E70" w:rsidRPr="00AD2D6D" w:rsidRDefault="00726E70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proofErr w:type="spellStart"/>
      <w:r w:rsidRPr="00415138">
        <w:rPr>
          <w:rFonts w:ascii="Times New Roman" w:hAnsi="Times New Roman" w:cs="Times New Roman"/>
          <w:sz w:val="20"/>
          <w:szCs w:val="20"/>
          <w:lang w:val="pt-BR"/>
        </w:rPr>
        <w:t>Goeree</w:t>
      </w:r>
      <w:proofErr w:type="spellEnd"/>
      <w:r w:rsidRPr="00415138">
        <w:rPr>
          <w:rFonts w:ascii="Times New Roman" w:hAnsi="Times New Roman" w:cs="Times New Roman"/>
          <w:sz w:val="20"/>
          <w:szCs w:val="20"/>
          <w:lang w:val="pt-BR"/>
        </w:rPr>
        <w:t xml:space="preserve">, J. e Holt, C. (2010). </w:t>
      </w:r>
      <w:r w:rsidRPr="00AD2D6D">
        <w:rPr>
          <w:rFonts w:ascii="Times New Roman" w:hAnsi="Times New Roman" w:cs="Times New Roman"/>
          <w:sz w:val="20"/>
          <w:szCs w:val="18"/>
        </w:rPr>
        <w:t xml:space="preserve">Hierarchical package bidding: A paper pencil combinatorial auction. </w:t>
      </w:r>
      <w:r w:rsidRPr="00AD2D6D">
        <w:rPr>
          <w:rFonts w:ascii="Times New Roman" w:hAnsi="Times New Roman" w:cs="Times New Roman"/>
          <w:i/>
          <w:sz w:val="20"/>
          <w:szCs w:val="18"/>
        </w:rPr>
        <w:t>Games and Economic Behavior</w:t>
      </w:r>
      <w:r w:rsidRPr="00AD2D6D">
        <w:rPr>
          <w:rFonts w:ascii="Times New Roman" w:hAnsi="Times New Roman" w:cs="Times New Roman"/>
          <w:sz w:val="20"/>
          <w:szCs w:val="18"/>
        </w:rPr>
        <w:t>, 70(1).</w:t>
      </w:r>
    </w:p>
    <w:p w14:paraId="1569621F" w14:textId="77777777" w:rsidR="002E5CCC" w:rsidRPr="00415138" w:rsidRDefault="002E5CCC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  <w:lang w:val="en-US"/>
        </w:rPr>
      </w:pPr>
      <w:r w:rsidRPr="002E5CCC">
        <w:rPr>
          <w:rFonts w:ascii="Times New Roman" w:hAnsi="Times New Roman" w:cs="Times New Roman"/>
          <w:sz w:val="20"/>
          <w:szCs w:val="18"/>
          <w:lang w:val="en-US"/>
        </w:rPr>
        <w:t xml:space="preserve">Groves, T. (1973). Incentives in teams. </w:t>
      </w:r>
      <w:proofErr w:type="spellStart"/>
      <w:r w:rsidRPr="00415138">
        <w:rPr>
          <w:rFonts w:ascii="Times New Roman" w:hAnsi="Times New Roman" w:cs="Times New Roman"/>
          <w:sz w:val="20"/>
          <w:szCs w:val="18"/>
          <w:lang w:val="en-US"/>
        </w:rPr>
        <w:t>Econometrica</w:t>
      </w:r>
      <w:proofErr w:type="spellEnd"/>
      <w:r w:rsidRPr="00415138">
        <w:rPr>
          <w:rFonts w:ascii="Times New Roman" w:hAnsi="Times New Roman" w:cs="Times New Roman"/>
          <w:sz w:val="20"/>
          <w:szCs w:val="18"/>
          <w:lang w:val="en-US"/>
        </w:rPr>
        <w:t>, 41(4):617–631.</w:t>
      </w:r>
    </w:p>
    <w:p w14:paraId="2DBE9190" w14:textId="10472BD6" w:rsidR="00E874F3" w:rsidRPr="00AD2D6D" w:rsidRDefault="00E874F3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  <w:lang w:val="pt-BR"/>
        </w:rPr>
      </w:pPr>
      <w:proofErr w:type="spellStart"/>
      <w:r w:rsidRPr="00AD2D6D">
        <w:rPr>
          <w:rFonts w:ascii="Times New Roman" w:hAnsi="Times New Roman" w:cs="Times New Roman"/>
          <w:sz w:val="20"/>
          <w:szCs w:val="18"/>
          <w:lang w:val="pt-BR"/>
        </w:rPr>
        <w:t>Hochstetler</w:t>
      </w:r>
      <w:proofErr w:type="spellEnd"/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, R.; R. Moita e D. Monte (2017). </w:t>
      </w:r>
      <w:r w:rsidRPr="00AD2D6D">
        <w:rPr>
          <w:rFonts w:ascii="Times New Roman" w:hAnsi="Times New Roman" w:cs="Times New Roman"/>
          <w:sz w:val="20"/>
          <w:szCs w:val="18"/>
          <w:lang w:val="en-US"/>
        </w:rPr>
        <w:t xml:space="preserve">Capacity Markets in Hydro-Intermittent Dominated Systems. </w:t>
      </w:r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Rio de Janeiro: Encontro </w:t>
      </w:r>
      <w:r w:rsidR="00F07C66" w:rsidRPr="00AD2D6D">
        <w:rPr>
          <w:rFonts w:ascii="Times New Roman" w:hAnsi="Times New Roman" w:cs="Times New Roman"/>
          <w:sz w:val="20"/>
          <w:szCs w:val="18"/>
          <w:lang w:val="pt-BR"/>
        </w:rPr>
        <w:t>Latino-Americano</w:t>
      </w:r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 de Economia da Energia – ELAEE.</w:t>
      </w:r>
    </w:p>
    <w:p w14:paraId="0BAD7E07" w14:textId="152BBCB9" w:rsidR="00224858" w:rsidRPr="00AD2D6D" w:rsidRDefault="00224858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proofErr w:type="spellStart"/>
      <w:r w:rsidRPr="00AD2D6D">
        <w:rPr>
          <w:rFonts w:ascii="Times New Roman" w:hAnsi="Times New Roman" w:cs="Times New Roman"/>
          <w:sz w:val="20"/>
          <w:szCs w:val="18"/>
          <w:lang w:val="pt-BR"/>
        </w:rPr>
        <w:t>Hochstetler</w:t>
      </w:r>
      <w:proofErr w:type="spellEnd"/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 (coord.) </w:t>
      </w:r>
      <w:r w:rsidR="00473269"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(2019). </w:t>
      </w:r>
      <w:r w:rsidRPr="00AD2D6D">
        <w:rPr>
          <w:rFonts w:ascii="Times New Roman" w:hAnsi="Times New Roman" w:cs="Times New Roman"/>
          <w:i/>
          <w:iCs/>
          <w:sz w:val="20"/>
          <w:szCs w:val="18"/>
          <w:lang w:val="pt-BR"/>
        </w:rPr>
        <w:t>Reflexões sobre uma Arquitetura de Mercado para o Setor Elétrico Brasileiro</w:t>
      </w:r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. </w:t>
      </w:r>
      <w:r w:rsidRPr="00AD2D6D">
        <w:rPr>
          <w:rFonts w:ascii="Times New Roman" w:hAnsi="Times New Roman" w:cs="Times New Roman"/>
          <w:sz w:val="20"/>
          <w:szCs w:val="18"/>
        </w:rPr>
        <w:t>Rio de Janeiro: Synergia Editora.</w:t>
      </w:r>
    </w:p>
    <w:p w14:paraId="767A7390" w14:textId="77777777" w:rsidR="00131D74" w:rsidRPr="00AD2D6D" w:rsidRDefault="00131D74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  <w:shd w:val="clear" w:color="auto" w:fill="FFFFFF"/>
        </w:rPr>
      </w:pPr>
      <w:r w:rsidRPr="00AD2D6D">
        <w:rPr>
          <w:rFonts w:ascii="Times New Roman" w:hAnsi="Times New Roman" w:cs="Times New Roman"/>
          <w:sz w:val="20"/>
          <w:szCs w:val="18"/>
          <w:shd w:val="clear" w:color="auto" w:fill="FFFFFF"/>
        </w:rPr>
        <w:t>Hogan, W. (2013). Electricity scarcity pricing through operating reserves</w:t>
      </w:r>
      <w:r w:rsidRPr="00AD2D6D">
        <w:rPr>
          <w:rFonts w:ascii="Times New Roman" w:hAnsi="Times New Roman" w:cs="Times New Roman"/>
          <w:i/>
          <w:sz w:val="20"/>
          <w:szCs w:val="18"/>
          <w:shd w:val="clear" w:color="auto" w:fill="FFFFFF"/>
        </w:rPr>
        <w:t>. Economics of Energy Environmental Policy</w:t>
      </w:r>
      <w:r w:rsidRPr="00AD2D6D">
        <w:rPr>
          <w:rFonts w:ascii="Times New Roman" w:hAnsi="Times New Roman" w:cs="Times New Roman"/>
          <w:sz w:val="20"/>
          <w:szCs w:val="18"/>
          <w:shd w:val="clear" w:color="auto" w:fill="FFFFFF"/>
        </w:rPr>
        <w:t>, 2(2):65–86.</w:t>
      </w:r>
    </w:p>
    <w:p w14:paraId="3580368B" w14:textId="77777777" w:rsidR="00B8225E" w:rsidRDefault="00B8225E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proofErr w:type="spellStart"/>
      <w:r w:rsidRPr="00AD2D6D">
        <w:rPr>
          <w:rFonts w:ascii="Times New Roman" w:hAnsi="Times New Roman" w:cs="Times New Roman"/>
          <w:sz w:val="20"/>
          <w:szCs w:val="18"/>
          <w:lang w:val="pt-BR"/>
        </w:rPr>
        <w:t>Scheffel</w:t>
      </w:r>
      <w:proofErr w:type="spellEnd"/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, T., Ziegler, G. e </w:t>
      </w:r>
      <w:proofErr w:type="spellStart"/>
      <w:r w:rsidRPr="00AD2D6D">
        <w:rPr>
          <w:rFonts w:ascii="Times New Roman" w:hAnsi="Times New Roman" w:cs="Times New Roman"/>
          <w:sz w:val="20"/>
          <w:szCs w:val="18"/>
          <w:lang w:val="pt-BR"/>
        </w:rPr>
        <w:t>Bichler</w:t>
      </w:r>
      <w:proofErr w:type="spellEnd"/>
      <w:r w:rsidRPr="00AD2D6D">
        <w:rPr>
          <w:rFonts w:ascii="Times New Roman" w:hAnsi="Times New Roman" w:cs="Times New Roman"/>
          <w:sz w:val="20"/>
          <w:szCs w:val="18"/>
          <w:lang w:val="pt-BR"/>
        </w:rPr>
        <w:t xml:space="preserve">, M. (2012). </w:t>
      </w:r>
      <w:r w:rsidRPr="00AD2D6D">
        <w:rPr>
          <w:rFonts w:ascii="Times New Roman" w:hAnsi="Times New Roman" w:cs="Times New Roman"/>
          <w:sz w:val="20"/>
          <w:szCs w:val="18"/>
        </w:rPr>
        <w:t xml:space="preserve">On the impact of package selection in combinatorial auctions: an experimental study in the context of spectrum auction design. </w:t>
      </w:r>
      <w:r w:rsidRPr="00AD2D6D">
        <w:rPr>
          <w:rFonts w:ascii="Times New Roman" w:hAnsi="Times New Roman" w:cs="Times New Roman"/>
          <w:i/>
          <w:sz w:val="20"/>
          <w:szCs w:val="18"/>
        </w:rPr>
        <w:t>Experimental Economics</w:t>
      </w:r>
      <w:r w:rsidRPr="00AD2D6D">
        <w:rPr>
          <w:rFonts w:ascii="Times New Roman" w:hAnsi="Times New Roman" w:cs="Times New Roman"/>
          <w:sz w:val="20"/>
          <w:szCs w:val="18"/>
        </w:rPr>
        <w:t>, 15:667–692.</w:t>
      </w:r>
    </w:p>
    <w:p w14:paraId="46259C61" w14:textId="7069A92B" w:rsidR="00346D99" w:rsidRPr="00852861" w:rsidRDefault="00D51EE7" w:rsidP="00144C9E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D51EE7">
        <w:rPr>
          <w:rFonts w:ascii="Times New Roman" w:hAnsi="Times New Roman" w:cs="Times New Roman"/>
          <w:sz w:val="20"/>
          <w:szCs w:val="18"/>
        </w:rPr>
        <w:t>Vickrey, W. (1961). Counterspeculation, auctions, and competitive sealed tenders. Journal of Finance, 16:8–37.</w:t>
      </w:r>
    </w:p>
    <w:sectPr w:rsidR="00346D99" w:rsidRPr="00852861" w:rsidSect="00ED55FD">
      <w:type w:val="continuous"/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0239"/>
    <w:multiLevelType w:val="hybridMultilevel"/>
    <w:tmpl w:val="E618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0962"/>
    <w:multiLevelType w:val="hybridMultilevel"/>
    <w:tmpl w:val="2DDE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74803">
    <w:abstractNumId w:val="0"/>
  </w:num>
  <w:num w:numId="2" w16cid:durableId="143177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99"/>
    <w:rsid w:val="00014E7B"/>
    <w:rsid w:val="00021E25"/>
    <w:rsid w:val="00051616"/>
    <w:rsid w:val="00097DA3"/>
    <w:rsid w:val="000B726F"/>
    <w:rsid w:val="000F057B"/>
    <w:rsid w:val="00111649"/>
    <w:rsid w:val="00115DB9"/>
    <w:rsid w:val="00131D74"/>
    <w:rsid w:val="0013689F"/>
    <w:rsid w:val="00144C9E"/>
    <w:rsid w:val="00183014"/>
    <w:rsid w:val="00192FDE"/>
    <w:rsid w:val="001E135E"/>
    <w:rsid w:val="001E7D1B"/>
    <w:rsid w:val="00224858"/>
    <w:rsid w:val="002273DE"/>
    <w:rsid w:val="002646AE"/>
    <w:rsid w:val="002958B2"/>
    <w:rsid w:val="002E0E4A"/>
    <w:rsid w:val="002E5CCC"/>
    <w:rsid w:val="00346D99"/>
    <w:rsid w:val="00351E62"/>
    <w:rsid w:val="003A6432"/>
    <w:rsid w:val="003D58B6"/>
    <w:rsid w:val="003E1A85"/>
    <w:rsid w:val="00405738"/>
    <w:rsid w:val="00414000"/>
    <w:rsid w:val="00415138"/>
    <w:rsid w:val="00461A27"/>
    <w:rsid w:val="00473269"/>
    <w:rsid w:val="00482920"/>
    <w:rsid w:val="00497CC7"/>
    <w:rsid w:val="004B4EEF"/>
    <w:rsid w:val="004C05C1"/>
    <w:rsid w:val="004F1C37"/>
    <w:rsid w:val="00537662"/>
    <w:rsid w:val="00537A1C"/>
    <w:rsid w:val="00540732"/>
    <w:rsid w:val="005478BA"/>
    <w:rsid w:val="005622CE"/>
    <w:rsid w:val="005737BF"/>
    <w:rsid w:val="00597C4D"/>
    <w:rsid w:val="005D3145"/>
    <w:rsid w:val="005E1B5A"/>
    <w:rsid w:val="005F73D3"/>
    <w:rsid w:val="0060087C"/>
    <w:rsid w:val="006C7001"/>
    <w:rsid w:val="006F7F26"/>
    <w:rsid w:val="00703E11"/>
    <w:rsid w:val="00723A7A"/>
    <w:rsid w:val="00726E70"/>
    <w:rsid w:val="00750A7A"/>
    <w:rsid w:val="007B49F0"/>
    <w:rsid w:val="007B70F6"/>
    <w:rsid w:val="007D6F9C"/>
    <w:rsid w:val="00833F52"/>
    <w:rsid w:val="00852861"/>
    <w:rsid w:val="00862873"/>
    <w:rsid w:val="00885213"/>
    <w:rsid w:val="00937F4C"/>
    <w:rsid w:val="0095205B"/>
    <w:rsid w:val="00954CA0"/>
    <w:rsid w:val="00986361"/>
    <w:rsid w:val="009B7ED6"/>
    <w:rsid w:val="00A1643A"/>
    <w:rsid w:val="00A379AA"/>
    <w:rsid w:val="00A47432"/>
    <w:rsid w:val="00A90FA9"/>
    <w:rsid w:val="00A963B8"/>
    <w:rsid w:val="00AC3D22"/>
    <w:rsid w:val="00AD2D6D"/>
    <w:rsid w:val="00AE4FEB"/>
    <w:rsid w:val="00B8225E"/>
    <w:rsid w:val="00B91A61"/>
    <w:rsid w:val="00BE59F9"/>
    <w:rsid w:val="00BE7E86"/>
    <w:rsid w:val="00C20591"/>
    <w:rsid w:val="00C56117"/>
    <w:rsid w:val="00C66FD7"/>
    <w:rsid w:val="00C970DD"/>
    <w:rsid w:val="00CA6731"/>
    <w:rsid w:val="00CC2866"/>
    <w:rsid w:val="00D51EE7"/>
    <w:rsid w:val="00D861E2"/>
    <w:rsid w:val="00D86E67"/>
    <w:rsid w:val="00DB15EF"/>
    <w:rsid w:val="00DB3909"/>
    <w:rsid w:val="00DF1E4B"/>
    <w:rsid w:val="00E1111B"/>
    <w:rsid w:val="00E1627C"/>
    <w:rsid w:val="00E43F52"/>
    <w:rsid w:val="00E52C12"/>
    <w:rsid w:val="00E530E6"/>
    <w:rsid w:val="00E745C6"/>
    <w:rsid w:val="00E874F3"/>
    <w:rsid w:val="00E97C2B"/>
    <w:rsid w:val="00ED55FD"/>
    <w:rsid w:val="00EE1373"/>
    <w:rsid w:val="00EF15B1"/>
    <w:rsid w:val="00F07C66"/>
    <w:rsid w:val="00F32FFC"/>
    <w:rsid w:val="00F75ED8"/>
    <w:rsid w:val="00FC1454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DF83A8"/>
  <w15:chartTrackingRefBased/>
  <w15:docId w15:val="{C983EAB1-CB98-CF4B-8F1F-BFC4EBEF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D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D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D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D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D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D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moita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@acendebras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roozenda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.monte@fg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.boro@ctgbr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Hochstetler | Instituto Acende Brasil</dc:creator>
  <cp:keywords/>
  <dc:description/>
  <cp:lastModifiedBy>Richard Hochstetler | Instituto Acende Brasil</cp:lastModifiedBy>
  <cp:revision>9</cp:revision>
  <dcterms:created xsi:type="dcterms:W3CDTF">2024-03-07T21:00:00Z</dcterms:created>
  <dcterms:modified xsi:type="dcterms:W3CDTF">2024-03-12T12:31:00Z</dcterms:modified>
</cp:coreProperties>
</file>