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57324F1F" w:rsidR="00FB252A" w:rsidRPr="000E4839" w:rsidRDefault="00E51164" w:rsidP="000E4839">
      <w:pPr>
        <w:spacing w:after="120"/>
        <w:ind w:left="709" w:right="665"/>
        <w:jc w:val="center"/>
        <w:rPr>
          <w:rFonts w:ascii="Arial" w:hAnsi="Arial" w:cs="Arial"/>
          <w:sz w:val="28"/>
        </w:rPr>
      </w:pPr>
      <w:r w:rsidRPr="00E51164">
        <w:rPr>
          <w:rFonts w:ascii="Arial" w:hAnsi="Arial" w:cs="Arial"/>
          <w:b/>
          <w:color w:val="000000" w:themeColor="text1"/>
          <w:sz w:val="28"/>
        </w:rPr>
        <w:t>BIÓPSIA EXCISIONAL DE GRANULOMA PIOGÊNICO: RELATO DE CASO</w:t>
      </w:r>
      <w:r w:rsidR="00BB6117" w:rsidRPr="00E51164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1436D7B0" w14:textId="77E073B4" w:rsidR="00FB252A" w:rsidRPr="000C3456" w:rsidRDefault="00FB252A" w:rsidP="000C3456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D47DD4">
        <w:rPr>
          <w:rFonts w:ascii="Arial" w:hAnsi="Arial" w:cs="Arial"/>
          <w:b/>
          <w:sz w:val="22"/>
          <w:szCs w:val="22"/>
        </w:rPr>
        <w:t>Douglas Evan</w:t>
      </w:r>
      <w:r w:rsidR="000C3456">
        <w:rPr>
          <w:rFonts w:ascii="Arial" w:hAnsi="Arial" w:cs="Arial"/>
          <w:b/>
          <w:sz w:val="22"/>
          <w:szCs w:val="22"/>
        </w:rPr>
        <w:t>gelista Carvalho</w:t>
      </w:r>
      <w:r w:rsidRPr="000C3456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14:paraId="16FD4738" w14:textId="308F19F1" w:rsidR="00FB252A" w:rsidRDefault="000C3456" w:rsidP="00FB252A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0C3456">
        <w:rPr>
          <w:rFonts w:ascii="Arial" w:hAnsi="Arial" w:cs="Arial"/>
          <w:b/>
          <w:sz w:val="22"/>
          <w:szCs w:val="22"/>
        </w:rPr>
        <w:t>Zayane</w:t>
      </w:r>
      <w:proofErr w:type="spellEnd"/>
      <w:r w:rsidRPr="000C3456">
        <w:rPr>
          <w:rFonts w:ascii="Arial" w:hAnsi="Arial" w:cs="Arial"/>
          <w:b/>
          <w:sz w:val="22"/>
          <w:szCs w:val="22"/>
        </w:rPr>
        <w:t xml:space="preserve"> Maria Brasilino de Araújo</w:t>
      </w:r>
      <w:r w:rsidR="00FB252A" w:rsidRPr="000C3456">
        <w:rPr>
          <w:rStyle w:val="Refdenotaderodap"/>
          <w:rFonts w:ascii="Arial" w:hAnsi="Arial" w:cs="Arial"/>
          <w:b/>
          <w:sz w:val="22"/>
          <w:szCs w:val="22"/>
        </w:rPr>
        <w:footnoteReference w:id="3"/>
      </w:r>
    </w:p>
    <w:p w14:paraId="44815760" w14:textId="3D9788EE" w:rsidR="000C3456" w:rsidRDefault="000C3456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C3456">
        <w:rPr>
          <w:rFonts w:ascii="Arial" w:hAnsi="Arial" w:cs="Arial"/>
          <w:b/>
          <w:color w:val="000000" w:themeColor="text1"/>
          <w:sz w:val="22"/>
          <w:szCs w:val="22"/>
        </w:rPr>
        <w:t>Rubens Rodrigues Alves</w:t>
      </w:r>
      <w:r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4"/>
      </w:r>
    </w:p>
    <w:p w14:paraId="58F13DDB" w14:textId="4EE1D743" w:rsidR="00602425" w:rsidRDefault="00602425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602425">
        <w:rPr>
          <w:rFonts w:ascii="Arial" w:hAnsi="Arial" w:cs="Arial"/>
          <w:b/>
          <w:color w:val="000000" w:themeColor="text1"/>
          <w:sz w:val="22"/>
          <w:szCs w:val="22"/>
        </w:rPr>
        <w:t>Yelrik</w:t>
      </w:r>
      <w:proofErr w:type="spellEnd"/>
      <w:r w:rsidRPr="00602425">
        <w:rPr>
          <w:rFonts w:ascii="Arial" w:hAnsi="Arial" w:cs="Arial"/>
          <w:b/>
          <w:color w:val="000000" w:themeColor="text1"/>
          <w:sz w:val="22"/>
          <w:szCs w:val="22"/>
        </w:rPr>
        <w:t xml:space="preserve"> Damasceno dos Santos</w:t>
      </w:r>
      <w:r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5"/>
      </w:r>
    </w:p>
    <w:p w14:paraId="7D783546" w14:textId="15ABD4D2" w:rsidR="00602425" w:rsidRDefault="00602425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2425">
        <w:rPr>
          <w:rFonts w:ascii="Arial" w:hAnsi="Arial" w:cs="Arial"/>
          <w:b/>
          <w:color w:val="000000" w:themeColor="text1"/>
          <w:sz w:val="22"/>
          <w:szCs w:val="22"/>
        </w:rPr>
        <w:t>Ângelo Rafael Pereira de Araújo Dias</w:t>
      </w:r>
      <w:r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6"/>
      </w:r>
    </w:p>
    <w:p w14:paraId="4BCC7EBF" w14:textId="435790AE" w:rsidR="00966C43" w:rsidRDefault="00966C43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Marina Lua Vieira de Abreu Costa</w:t>
      </w:r>
      <w:r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7"/>
      </w:r>
    </w:p>
    <w:p w14:paraId="160329EA" w14:textId="0B50A7ED" w:rsidR="00FB252A" w:rsidRPr="00D134EF" w:rsidRDefault="000C3456" w:rsidP="000C345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0C3456">
        <w:rPr>
          <w:rFonts w:ascii="Arial" w:hAnsi="Arial" w:cs="Arial"/>
          <w:b/>
          <w:color w:val="000000" w:themeColor="text1"/>
          <w:sz w:val="22"/>
          <w:szCs w:val="22"/>
        </w:rPr>
        <w:t>Thálison</w:t>
      </w:r>
      <w:proofErr w:type="spellEnd"/>
      <w:r w:rsidRPr="000C3456">
        <w:rPr>
          <w:rFonts w:ascii="Arial" w:hAnsi="Arial" w:cs="Arial"/>
          <w:b/>
          <w:color w:val="000000" w:themeColor="text1"/>
          <w:sz w:val="22"/>
          <w:szCs w:val="22"/>
        </w:rPr>
        <w:t xml:space="preserve"> Ramon de Moura Batista</w:t>
      </w:r>
      <w:r>
        <w:rPr>
          <w:rStyle w:val="Refdenotaderodap"/>
          <w:rFonts w:ascii="Arial" w:hAnsi="Arial" w:cs="Arial"/>
          <w:b/>
          <w:color w:val="000000" w:themeColor="text1"/>
          <w:sz w:val="22"/>
          <w:szCs w:val="22"/>
        </w:rPr>
        <w:footnoteReference w:id="8"/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E51164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E51164">
        <w:rPr>
          <w:rFonts w:ascii="Arial" w:hAnsi="Arial" w:cs="Arial"/>
          <w:b/>
        </w:rPr>
        <w:t>RESUMO</w:t>
      </w:r>
    </w:p>
    <w:p w14:paraId="5C1683AC" w14:textId="234CC182" w:rsidR="00602425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E51164">
        <w:rPr>
          <w:rFonts w:ascii="Arial" w:hAnsi="Arial" w:cs="Arial"/>
          <w:b/>
        </w:rPr>
        <w:t>INTRODUÇÃO</w:t>
      </w:r>
      <w:r w:rsidRPr="00E51164">
        <w:rPr>
          <w:rFonts w:ascii="Arial" w:hAnsi="Arial" w:cs="Arial"/>
        </w:rPr>
        <w:t>:</w:t>
      </w:r>
      <w:r w:rsidR="00E51164" w:rsidRPr="00E51164">
        <w:rPr>
          <w:rFonts w:ascii="Arial" w:hAnsi="Arial" w:cs="Arial"/>
        </w:rPr>
        <w:t xml:space="preserve"> As lesões proliferativas não neoplásicas </w:t>
      </w:r>
      <w:r w:rsidR="006E50AE">
        <w:rPr>
          <w:rFonts w:ascii="Arial" w:hAnsi="Arial" w:cs="Arial"/>
        </w:rPr>
        <w:t>provêm</w:t>
      </w:r>
      <w:r w:rsidR="00E51164" w:rsidRPr="00E51164">
        <w:rPr>
          <w:rFonts w:ascii="Arial" w:hAnsi="Arial" w:cs="Arial"/>
        </w:rPr>
        <w:t xml:space="preserve"> das respostas tec</w:t>
      </w:r>
      <w:r w:rsidR="0007052F">
        <w:rPr>
          <w:rFonts w:ascii="Arial" w:hAnsi="Arial" w:cs="Arial"/>
        </w:rPr>
        <w:t>iduais sobre estímulos crônicos</w:t>
      </w:r>
      <w:r w:rsidR="00E51164" w:rsidRPr="00E51164">
        <w:rPr>
          <w:rFonts w:ascii="Arial" w:hAnsi="Arial" w:cs="Arial"/>
        </w:rPr>
        <w:t xml:space="preserve"> locais de longa duração ou trauma de baixo grau, </w:t>
      </w:r>
      <w:r w:rsidR="006E50AE">
        <w:rPr>
          <w:rFonts w:ascii="Arial" w:hAnsi="Arial" w:cs="Arial"/>
        </w:rPr>
        <w:t xml:space="preserve">como </w:t>
      </w:r>
      <w:r w:rsidR="00E51164" w:rsidRPr="00E51164">
        <w:rPr>
          <w:rFonts w:ascii="Arial" w:hAnsi="Arial" w:cs="Arial"/>
        </w:rPr>
        <w:t xml:space="preserve">raízes resíduas, cálculos </w:t>
      </w:r>
      <w:proofErr w:type="spellStart"/>
      <w:r w:rsidR="00E51164" w:rsidRPr="00E51164">
        <w:rPr>
          <w:rFonts w:ascii="Arial" w:hAnsi="Arial" w:cs="Arial"/>
        </w:rPr>
        <w:t>subgengivais</w:t>
      </w:r>
      <w:proofErr w:type="spellEnd"/>
      <w:r w:rsidR="00E51164" w:rsidRPr="00E51164">
        <w:rPr>
          <w:rFonts w:ascii="Arial" w:hAnsi="Arial" w:cs="Arial"/>
        </w:rPr>
        <w:t xml:space="preserve">, restaurações em excesso nas proximais, próteses mal ajustadas, fator </w:t>
      </w:r>
      <w:proofErr w:type="spellStart"/>
      <w:r w:rsidR="00E51164" w:rsidRPr="00E51164">
        <w:rPr>
          <w:rFonts w:ascii="Arial" w:hAnsi="Arial" w:cs="Arial"/>
        </w:rPr>
        <w:t>homonal</w:t>
      </w:r>
      <w:proofErr w:type="spellEnd"/>
      <w:r w:rsidR="00E51164" w:rsidRPr="00E51164">
        <w:rPr>
          <w:rFonts w:ascii="Arial" w:hAnsi="Arial" w:cs="Arial"/>
        </w:rPr>
        <w:t xml:space="preserve"> e má higiene oral.</w:t>
      </w:r>
      <w:r w:rsidR="00E51164">
        <w:rPr>
          <w:rFonts w:ascii="Arial" w:hAnsi="Arial" w:cs="Arial"/>
        </w:rPr>
        <w:t xml:space="preserve"> </w:t>
      </w:r>
      <w:r w:rsidR="0007052F">
        <w:rPr>
          <w:rFonts w:ascii="Arial" w:hAnsi="Arial" w:cs="Arial"/>
          <w:b/>
        </w:rPr>
        <w:t>Relato de caso</w:t>
      </w:r>
      <w:r w:rsidRPr="00E51164">
        <w:rPr>
          <w:rFonts w:ascii="Arial" w:hAnsi="Arial" w:cs="Arial"/>
        </w:rPr>
        <w:t>:</w:t>
      </w:r>
      <w:r w:rsidR="00C939F6" w:rsidRPr="00C939F6">
        <w:t xml:space="preserve"> </w:t>
      </w:r>
      <w:r w:rsidR="0007052F">
        <w:rPr>
          <w:rFonts w:ascii="Arial" w:hAnsi="Arial" w:cs="Arial"/>
        </w:rPr>
        <w:t>P</w:t>
      </w:r>
      <w:r w:rsidR="00FD7605">
        <w:rPr>
          <w:rFonts w:ascii="Arial" w:hAnsi="Arial" w:cs="Arial"/>
        </w:rPr>
        <w:t>aciente de 35 anos</w:t>
      </w:r>
      <w:r w:rsidR="00C939F6" w:rsidRPr="00C939F6">
        <w:rPr>
          <w:rFonts w:ascii="Arial" w:hAnsi="Arial" w:cs="Arial"/>
        </w:rPr>
        <w:t xml:space="preserve">, </w:t>
      </w:r>
      <w:r w:rsidR="0007052F">
        <w:rPr>
          <w:rFonts w:ascii="Arial" w:hAnsi="Arial" w:cs="Arial"/>
        </w:rPr>
        <w:t>tabagista,</w:t>
      </w:r>
      <w:r w:rsidR="00A94399">
        <w:rPr>
          <w:rFonts w:ascii="Arial" w:hAnsi="Arial" w:cs="Arial"/>
        </w:rPr>
        <w:t xml:space="preserve"> </w:t>
      </w:r>
      <w:proofErr w:type="spellStart"/>
      <w:r w:rsidR="00493A06">
        <w:rPr>
          <w:rFonts w:ascii="Arial" w:hAnsi="Arial" w:cs="Arial"/>
        </w:rPr>
        <w:t>melanoderma</w:t>
      </w:r>
      <w:proofErr w:type="spellEnd"/>
      <w:r w:rsidR="00493A06">
        <w:rPr>
          <w:rFonts w:ascii="Arial" w:hAnsi="Arial" w:cs="Arial"/>
        </w:rPr>
        <w:t xml:space="preserve"> ASA I </w:t>
      </w:r>
      <w:r w:rsidR="0007052F" w:rsidRPr="0007052F">
        <w:rPr>
          <w:rFonts w:ascii="Arial" w:hAnsi="Arial" w:cs="Arial"/>
        </w:rPr>
        <w:t xml:space="preserve">compareceu a clínica escola Carolina Freitas Lira </w:t>
      </w:r>
      <w:r w:rsidR="000E4839">
        <w:rPr>
          <w:rFonts w:ascii="Arial" w:hAnsi="Arial" w:cs="Arial"/>
        </w:rPr>
        <w:t xml:space="preserve">com </w:t>
      </w:r>
      <w:r w:rsidR="0007052F" w:rsidRPr="0007052F">
        <w:rPr>
          <w:rFonts w:ascii="Arial" w:hAnsi="Arial" w:cs="Arial"/>
        </w:rPr>
        <w:t>queixa principal de</w:t>
      </w:r>
      <w:r w:rsidR="0007052F">
        <w:rPr>
          <w:rFonts w:ascii="Arial" w:hAnsi="Arial" w:cs="Arial"/>
        </w:rPr>
        <w:t>:</w:t>
      </w:r>
      <w:r w:rsidR="0007052F" w:rsidRPr="0007052F">
        <w:rPr>
          <w:rFonts w:ascii="Arial" w:hAnsi="Arial" w:cs="Arial"/>
        </w:rPr>
        <w:t xml:space="preserve"> “bolha na gengiva”</w:t>
      </w:r>
      <w:r w:rsidR="00A94399">
        <w:rPr>
          <w:rFonts w:ascii="Arial" w:hAnsi="Arial" w:cs="Arial"/>
        </w:rPr>
        <w:t>. Ao</w:t>
      </w:r>
      <w:r w:rsidR="0007052F">
        <w:rPr>
          <w:rFonts w:ascii="Arial" w:hAnsi="Arial" w:cs="Arial"/>
        </w:rPr>
        <w:t xml:space="preserve"> </w:t>
      </w:r>
      <w:r w:rsidR="00C939F6" w:rsidRPr="00C939F6">
        <w:rPr>
          <w:rFonts w:ascii="Arial" w:hAnsi="Arial" w:cs="Arial"/>
        </w:rPr>
        <w:t xml:space="preserve">exame clínico </w:t>
      </w:r>
      <w:proofErr w:type="spellStart"/>
      <w:r w:rsidR="00C939F6" w:rsidRPr="00C939F6">
        <w:rPr>
          <w:rFonts w:ascii="Arial" w:hAnsi="Arial" w:cs="Arial"/>
        </w:rPr>
        <w:t>intra</w:t>
      </w:r>
      <w:proofErr w:type="spellEnd"/>
      <w:r w:rsidR="00C939F6" w:rsidRPr="00C939F6">
        <w:rPr>
          <w:rFonts w:ascii="Arial" w:hAnsi="Arial" w:cs="Arial"/>
        </w:rPr>
        <w:t xml:space="preserve"> e </w:t>
      </w:r>
      <w:proofErr w:type="spellStart"/>
      <w:r w:rsidR="00C939F6" w:rsidRPr="00C939F6">
        <w:rPr>
          <w:rFonts w:ascii="Arial" w:hAnsi="Arial" w:cs="Arial"/>
        </w:rPr>
        <w:t>extraoral</w:t>
      </w:r>
      <w:proofErr w:type="spellEnd"/>
      <w:r w:rsidR="0007052F">
        <w:rPr>
          <w:rFonts w:ascii="Arial" w:hAnsi="Arial" w:cs="Arial"/>
        </w:rPr>
        <w:t xml:space="preserve">, observou-se lesão nodular de consistência </w:t>
      </w:r>
      <w:proofErr w:type="spellStart"/>
      <w:r w:rsidR="0007052F">
        <w:rPr>
          <w:rFonts w:ascii="Arial" w:hAnsi="Arial" w:cs="Arial"/>
        </w:rPr>
        <w:t>fibroelástica</w:t>
      </w:r>
      <w:proofErr w:type="spellEnd"/>
      <w:r w:rsidR="000E4839">
        <w:rPr>
          <w:rFonts w:ascii="Arial" w:hAnsi="Arial" w:cs="Arial"/>
        </w:rPr>
        <w:t xml:space="preserve"> na região dos </w:t>
      </w:r>
      <w:proofErr w:type="spellStart"/>
      <w:r w:rsidR="000E4839">
        <w:rPr>
          <w:rFonts w:ascii="Arial" w:hAnsi="Arial" w:cs="Arial"/>
        </w:rPr>
        <w:t>pré</w:t>
      </w:r>
      <w:proofErr w:type="spellEnd"/>
      <w:r w:rsidR="000E4839">
        <w:rPr>
          <w:rFonts w:ascii="Arial" w:hAnsi="Arial" w:cs="Arial"/>
        </w:rPr>
        <w:t>–</w:t>
      </w:r>
      <w:r w:rsidR="002676F5">
        <w:rPr>
          <w:rFonts w:ascii="Arial" w:hAnsi="Arial" w:cs="Arial"/>
        </w:rPr>
        <w:t xml:space="preserve">molares </w:t>
      </w:r>
      <w:r w:rsidR="00F57E8E">
        <w:rPr>
          <w:rFonts w:ascii="Arial" w:hAnsi="Arial" w:cs="Arial"/>
        </w:rPr>
        <w:t xml:space="preserve">24 e 25, </w:t>
      </w:r>
      <w:r w:rsidR="00493A06">
        <w:rPr>
          <w:rFonts w:ascii="Arial" w:hAnsi="Arial" w:cs="Arial"/>
        </w:rPr>
        <w:t>pe</w:t>
      </w:r>
      <w:r w:rsidR="00F57E8E" w:rsidRPr="00F57E8E">
        <w:rPr>
          <w:rFonts w:ascii="Arial" w:hAnsi="Arial" w:cs="Arial"/>
        </w:rPr>
        <w:t xml:space="preserve">diculada, </w:t>
      </w:r>
      <w:proofErr w:type="spellStart"/>
      <w:r w:rsidR="00F57E8E" w:rsidRPr="00F57E8E">
        <w:rPr>
          <w:rFonts w:ascii="Arial" w:hAnsi="Arial" w:cs="Arial"/>
        </w:rPr>
        <w:t>sangra</w:t>
      </w:r>
      <w:r w:rsidR="00493A06">
        <w:rPr>
          <w:rFonts w:ascii="Arial" w:hAnsi="Arial" w:cs="Arial"/>
        </w:rPr>
        <w:t>nte</w:t>
      </w:r>
      <w:proofErr w:type="spellEnd"/>
      <w:r w:rsidR="00493A06">
        <w:rPr>
          <w:rFonts w:ascii="Arial" w:hAnsi="Arial" w:cs="Arial"/>
        </w:rPr>
        <w:t xml:space="preserve"> ao toque, coloração</w:t>
      </w:r>
      <w:r w:rsidR="006E50AE">
        <w:rPr>
          <w:rFonts w:ascii="Arial" w:hAnsi="Arial" w:cs="Arial"/>
        </w:rPr>
        <w:t xml:space="preserve"> mista de areias </w:t>
      </w:r>
      <w:proofErr w:type="spellStart"/>
      <w:r w:rsidR="006E50AE">
        <w:rPr>
          <w:rFonts w:ascii="Arial" w:hAnsi="Arial" w:cs="Arial"/>
        </w:rPr>
        <w:t>normocrômicas</w:t>
      </w:r>
      <w:proofErr w:type="spellEnd"/>
      <w:r w:rsidR="006E50AE">
        <w:rPr>
          <w:rFonts w:ascii="Arial" w:hAnsi="Arial" w:cs="Arial"/>
        </w:rPr>
        <w:t xml:space="preserve"> </w:t>
      </w:r>
      <w:r w:rsidR="00493A06">
        <w:rPr>
          <w:rFonts w:ascii="Arial" w:hAnsi="Arial" w:cs="Arial"/>
        </w:rPr>
        <w:t xml:space="preserve">e areias eritematosas </w:t>
      </w:r>
      <w:r w:rsidR="00F57E8E" w:rsidRPr="00F57E8E">
        <w:rPr>
          <w:rFonts w:ascii="Arial" w:hAnsi="Arial" w:cs="Arial"/>
        </w:rPr>
        <w:t>com superfície lisa</w:t>
      </w:r>
      <w:r w:rsidR="002676F5">
        <w:rPr>
          <w:rFonts w:ascii="Arial" w:hAnsi="Arial" w:cs="Arial"/>
        </w:rPr>
        <w:t xml:space="preserve"> com dimensões 1,5 x 1,7 cm</w:t>
      </w:r>
      <w:r w:rsidR="00F57E8E">
        <w:rPr>
          <w:rFonts w:ascii="Arial" w:hAnsi="Arial" w:cs="Arial"/>
        </w:rPr>
        <w:t xml:space="preserve">. </w:t>
      </w:r>
      <w:r w:rsidR="000E4839">
        <w:rPr>
          <w:rFonts w:ascii="Arial" w:hAnsi="Arial" w:cs="Arial"/>
        </w:rPr>
        <w:t>A partir disso, estabeleceu-se</w:t>
      </w:r>
      <w:r w:rsidR="00F57E8E">
        <w:rPr>
          <w:rFonts w:ascii="Arial" w:hAnsi="Arial" w:cs="Arial"/>
        </w:rPr>
        <w:t xml:space="preserve"> a hipótese </w:t>
      </w:r>
      <w:r w:rsidR="00C939F6" w:rsidRPr="00C939F6">
        <w:rPr>
          <w:rFonts w:ascii="Arial" w:hAnsi="Arial" w:cs="Arial"/>
        </w:rPr>
        <w:t>dia</w:t>
      </w:r>
      <w:r w:rsidR="00F57E8E">
        <w:rPr>
          <w:rFonts w:ascii="Arial" w:hAnsi="Arial" w:cs="Arial"/>
        </w:rPr>
        <w:t xml:space="preserve">gnóstica de granuloma </w:t>
      </w:r>
      <w:proofErr w:type="spellStart"/>
      <w:r w:rsidR="00F57E8E">
        <w:rPr>
          <w:rFonts w:ascii="Arial" w:hAnsi="Arial" w:cs="Arial"/>
        </w:rPr>
        <w:t>piogênico</w:t>
      </w:r>
      <w:proofErr w:type="spellEnd"/>
      <w:r w:rsidR="00F57E8E">
        <w:rPr>
          <w:rFonts w:ascii="Arial" w:hAnsi="Arial" w:cs="Arial"/>
        </w:rPr>
        <w:t xml:space="preserve">, devido a uma higiene bucal </w:t>
      </w:r>
      <w:r w:rsidR="002676F5">
        <w:rPr>
          <w:rFonts w:ascii="Arial" w:hAnsi="Arial" w:cs="Arial"/>
        </w:rPr>
        <w:t>irregu</w:t>
      </w:r>
      <w:r w:rsidR="006E50AE">
        <w:rPr>
          <w:rFonts w:ascii="Arial" w:hAnsi="Arial" w:cs="Arial"/>
        </w:rPr>
        <w:t>lar e</w:t>
      </w:r>
      <w:r w:rsidR="002676F5">
        <w:rPr>
          <w:rFonts w:ascii="Arial" w:hAnsi="Arial" w:cs="Arial"/>
        </w:rPr>
        <w:t xml:space="preserve"> histórico </w:t>
      </w:r>
      <w:r w:rsidR="006E50AE">
        <w:rPr>
          <w:rFonts w:ascii="Arial" w:hAnsi="Arial" w:cs="Arial"/>
        </w:rPr>
        <w:t xml:space="preserve">odontológico </w:t>
      </w:r>
      <w:r w:rsidR="002676F5">
        <w:rPr>
          <w:rFonts w:ascii="Arial" w:hAnsi="Arial" w:cs="Arial"/>
        </w:rPr>
        <w:t>da paciente</w:t>
      </w:r>
      <w:r w:rsidR="00F57E8E">
        <w:rPr>
          <w:rFonts w:ascii="Arial" w:hAnsi="Arial" w:cs="Arial"/>
        </w:rPr>
        <w:t xml:space="preserve">. </w:t>
      </w:r>
      <w:r w:rsidR="006E50AE">
        <w:rPr>
          <w:rFonts w:ascii="Arial" w:hAnsi="Arial" w:cs="Arial"/>
        </w:rPr>
        <w:t>Diante disso</w:t>
      </w:r>
      <w:r w:rsidR="00F57E8E">
        <w:rPr>
          <w:rFonts w:ascii="Arial" w:hAnsi="Arial" w:cs="Arial"/>
        </w:rPr>
        <w:t xml:space="preserve">, </w:t>
      </w:r>
      <w:r w:rsidR="000E4839">
        <w:rPr>
          <w:rFonts w:ascii="Arial" w:hAnsi="Arial" w:cs="Arial"/>
        </w:rPr>
        <w:t>instituiu-se</w:t>
      </w:r>
      <w:r w:rsidR="00F57E8E">
        <w:rPr>
          <w:rFonts w:ascii="Arial" w:hAnsi="Arial" w:cs="Arial"/>
        </w:rPr>
        <w:t xml:space="preserve"> tratamento cirúrgico de biópsia </w:t>
      </w:r>
      <w:proofErr w:type="spellStart"/>
      <w:r w:rsidR="00F57E8E" w:rsidRPr="00F57E8E">
        <w:rPr>
          <w:rFonts w:ascii="Arial" w:hAnsi="Arial" w:cs="Arial"/>
        </w:rPr>
        <w:t>excisional</w:t>
      </w:r>
      <w:proofErr w:type="spellEnd"/>
      <w:r w:rsidR="00F57E8E">
        <w:rPr>
          <w:rFonts w:ascii="Arial" w:hAnsi="Arial" w:cs="Arial"/>
        </w:rPr>
        <w:t xml:space="preserve">, </w:t>
      </w:r>
      <w:r w:rsidR="006E50AE">
        <w:rPr>
          <w:rFonts w:ascii="Arial" w:hAnsi="Arial" w:cs="Arial"/>
        </w:rPr>
        <w:t>com</w:t>
      </w:r>
      <w:r w:rsidR="00C939F6" w:rsidRPr="00C939F6">
        <w:rPr>
          <w:rFonts w:ascii="Arial" w:hAnsi="Arial" w:cs="Arial"/>
        </w:rPr>
        <w:t xml:space="preserve"> excisão cirúrgica da lesão sob anestesia </w:t>
      </w:r>
      <w:proofErr w:type="spellStart"/>
      <w:r w:rsidR="00C939F6" w:rsidRPr="00C939F6">
        <w:rPr>
          <w:rFonts w:ascii="Arial" w:hAnsi="Arial" w:cs="Arial"/>
        </w:rPr>
        <w:t>infiltrativa</w:t>
      </w:r>
      <w:proofErr w:type="spellEnd"/>
      <w:r w:rsidR="00C939F6" w:rsidRPr="00C939F6">
        <w:rPr>
          <w:rFonts w:ascii="Arial" w:hAnsi="Arial" w:cs="Arial"/>
        </w:rPr>
        <w:t xml:space="preserve"> com lidocaína associada à </w:t>
      </w:r>
      <w:proofErr w:type="spellStart"/>
      <w:r w:rsidR="00C939F6" w:rsidRPr="00C939F6">
        <w:rPr>
          <w:rFonts w:ascii="Arial" w:hAnsi="Arial" w:cs="Arial"/>
        </w:rPr>
        <w:t>epinefrina</w:t>
      </w:r>
      <w:proofErr w:type="spellEnd"/>
      <w:r w:rsidR="00C939F6" w:rsidRPr="00C939F6">
        <w:rPr>
          <w:rFonts w:ascii="Arial" w:hAnsi="Arial" w:cs="Arial"/>
        </w:rPr>
        <w:t xml:space="preserve"> </w:t>
      </w:r>
      <w:r w:rsidR="00493A06">
        <w:rPr>
          <w:rFonts w:ascii="Arial" w:hAnsi="Arial" w:cs="Arial"/>
        </w:rPr>
        <w:t xml:space="preserve">1:100.000, usando bisturi com lâmina </w:t>
      </w:r>
      <w:r w:rsidR="00C939F6" w:rsidRPr="00C939F6">
        <w:rPr>
          <w:rFonts w:ascii="Arial" w:hAnsi="Arial" w:cs="Arial"/>
        </w:rPr>
        <w:t xml:space="preserve">15C e margem de segurança de 2 a 3mm. </w:t>
      </w:r>
      <w:r w:rsidR="00BA7F8C">
        <w:rPr>
          <w:rFonts w:ascii="Arial" w:hAnsi="Arial" w:cs="Arial"/>
        </w:rPr>
        <w:t>Conservou-se o tecido retirado</w:t>
      </w:r>
      <w:r w:rsidR="00C939F6" w:rsidRPr="00C939F6">
        <w:rPr>
          <w:rFonts w:ascii="Arial" w:hAnsi="Arial" w:cs="Arial"/>
        </w:rPr>
        <w:t xml:space="preserve"> em solução de formol a 10% e </w:t>
      </w:r>
      <w:r w:rsidR="00BA7F8C">
        <w:rPr>
          <w:rFonts w:ascii="Arial" w:hAnsi="Arial" w:cs="Arial"/>
        </w:rPr>
        <w:t xml:space="preserve">enviou-se </w:t>
      </w:r>
      <w:r w:rsidR="00C939F6" w:rsidRPr="00C939F6">
        <w:rPr>
          <w:rFonts w:ascii="Arial" w:hAnsi="Arial" w:cs="Arial"/>
        </w:rPr>
        <w:t>ao laboratório de anatomia patológica para a confirmação do diagnóstico através de exame histopatológico.</w:t>
      </w:r>
      <w:r w:rsidR="000C3456">
        <w:rPr>
          <w:rFonts w:ascii="Arial" w:hAnsi="Arial" w:cs="Arial"/>
        </w:rPr>
        <w:t xml:space="preserve"> </w:t>
      </w:r>
      <w:r w:rsidR="00F57E8E">
        <w:rPr>
          <w:rFonts w:ascii="Arial" w:hAnsi="Arial" w:cs="Arial"/>
        </w:rPr>
        <w:t>A paciente apresentou cicatrização satisfatória, após a biópsia e encontra-se</w:t>
      </w:r>
      <w:r w:rsidR="00D41993">
        <w:rPr>
          <w:rFonts w:ascii="Arial" w:hAnsi="Arial" w:cs="Arial"/>
        </w:rPr>
        <w:t xml:space="preserve"> em </w:t>
      </w:r>
      <w:proofErr w:type="spellStart"/>
      <w:r w:rsidR="00D41993" w:rsidRPr="00D41993">
        <w:rPr>
          <w:rFonts w:ascii="Arial" w:hAnsi="Arial" w:cs="Arial"/>
        </w:rPr>
        <w:t>proservação</w:t>
      </w:r>
      <w:proofErr w:type="spellEnd"/>
      <w:r w:rsidR="00602425">
        <w:rPr>
          <w:rFonts w:ascii="Arial" w:hAnsi="Arial" w:cs="Arial"/>
        </w:rPr>
        <w:t>.</w:t>
      </w:r>
      <w:r w:rsidR="00BC7358">
        <w:rPr>
          <w:rFonts w:ascii="Arial" w:hAnsi="Arial" w:cs="Arial"/>
        </w:rPr>
        <w:t xml:space="preserve"> O resultad</w:t>
      </w:r>
      <w:r w:rsidR="000E4839">
        <w:rPr>
          <w:rFonts w:ascii="Arial" w:hAnsi="Arial" w:cs="Arial"/>
        </w:rPr>
        <w:t xml:space="preserve">o do exame histopatológico </w:t>
      </w:r>
      <w:r w:rsidR="004C40C8">
        <w:rPr>
          <w:rFonts w:ascii="Arial" w:hAnsi="Arial" w:cs="Arial"/>
        </w:rPr>
        <w:t>foi</w:t>
      </w:r>
      <w:r w:rsidR="00BC7358">
        <w:rPr>
          <w:rFonts w:ascii="Arial" w:hAnsi="Arial" w:cs="Arial"/>
        </w:rPr>
        <w:t xml:space="preserve"> hiperplasia </w:t>
      </w:r>
      <w:proofErr w:type="spellStart"/>
      <w:r w:rsidR="00BC7358">
        <w:rPr>
          <w:rFonts w:ascii="Arial" w:hAnsi="Arial" w:cs="Arial"/>
        </w:rPr>
        <w:t>fibroepitelial</w:t>
      </w:r>
      <w:proofErr w:type="spellEnd"/>
      <w:r w:rsidR="00BC7358">
        <w:rPr>
          <w:rFonts w:ascii="Arial" w:hAnsi="Arial" w:cs="Arial"/>
        </w:rPr>
        <w:t xml:space="preserve"> com processo inflamatóri</w:t>
      </w:r>
      <w:r w:rsidR="00493A06">
        <w:rPr>
          <w:rFonts w:ascii="Arial" w:hAnsi="Arial" w:cs="Arial"/>
        </w:rPr>
        <w:t xml:space="preserve">o misto inespecífico e formação </w:t>
      </w:r>
      <w:r w:rsidR="00BC7358">
        <w:rPr>
          <w:rFonts w:ascii="Arial" w:hAnsi="Arial" w:cs="Arial"/>
        </w:rPr>
        <w:t xml:space="preserve">de tecido de granulação. </w:t>
      </w:r>
      <w:r w:rsidR="00D41993">
        <w:rPr>
          <w:rFonts w:ascii="Arial" w:hAnsi="Arial" w:cs="Arial"/>
        </w:rPr>
        <w:t xml:space="preserve"> </w:t>
      </w:r>
      <w:r w:rsidR="002676F5">
        <w:rPr>
          <w:rFonts w:ascii="Arial" w:hAnsi="Arial" w:cs="Arial"/>
          <w:b/>
        </w:rPr>
        <w:t>CONSIDERAÇÕES FINAIS</w:t>
      </w:r>
      <w:r w:rsidR="00753034">
        <w:rPr>
          <w:rFonts w:ascii="Arial" w:hAnsi="Arial" w:cs="Arial"/>
        </w:rPr>
        <w:t>:</w:t>
      </w:r>
      <w:r w:rsidR="00BA7F8C" w:rsidRPr="00BA7F8C">
        <w:t xml:space="preserve"> </w:t>
      </w:r>
      <w:r w:rsidR="00BA7F8C" w:rsidRPr="00BA7F8C">
        <w:rPr>
          <w:rFonts w:ascii="Arial" w:hAnsi="Arial" w:cs="Arial"/>
        </w:rPr>
        <w:t xml:space="preserve">O diagnóstico e tratamento </w:t>
      </w:r>
      <w:r w:rsidR="00652D67">
        <w:rPr>
          <w:rFonts w:ascii="Arial" w:hAnsi="Arial" w:cs="Arial"/>
        </w:rPr>
        <w:t>dessa patologia requerem</w:t>
      </w:r>
      <w:r w:rsidR="00BA7F8C" w:rsidRPr="00BA7F8C">
        <w:rPr>
          <w:rFonts w:ascii="Arial" w:hAnsi="Arial" w:cs="Arial"/>
        </w:rPr>
        <w:t xml:space="preserve"> uma abordagem criteriosa</w:t>
      </w:r>
      <w:r w:rsidR="00C36EC5">
        <w:rPr>
          <w:rFonts w:ascii="Arial" w:hAnsi="Arial" w:cs="Arial"/>
        </w:rPr>
        <w:t xml:space="preserve">, evidenciando </w:t>
      </w:r>
      <w:r w:rsidR="00BA7F8C" w:rsidRPr="00BA7F8C">
        <w:rPr>
          <w:rFonts w:ascii="Arial" w:hAnsi="Arial" w:cs="Arial"/>
        </w:rPr>
        <w:t xml:space="preserve">a importância da </w:t>
      </w:r>
      <w:r w:rsidR="00BA7F8C" w:rsidRPr="00BA7F8C">
        <w:rPr>
          <w:rFonts w:ascii="Arial" w:hAnsi="Arial" w:cs="Arial"/>
        </w:rPr>
        <w:lastRenderedPageBreak/>
        <w:t>anamnese detalhada, do exame clínico minucioso e do acompanhamento laboratorial para a confirmação diagnóstica</w:t>
      </w:r>
      <w:r w:rsidR="00652D67">
        <w:rPr>
          <w:rFonts w:ascii="Arial" w:hAnsi="Arial" w:cs="Arial"/>
        </w:rPr>
        <w:t>.</w:t>
      </w:r>
    </w:p>
    <w:p w14:paraId="01C3128F" w14:textId="77777777" w:rsidR="000E4839" w:rsidRPr="00602425" w:rsidRDefault="000E4839" w:rsidP="00FB252A">
      <w:pPr>
        <w:spacing w:after="120"/>
        <w:ind w:right="665"/>
        <w:jc w:val="both"/>
        <w:rPr>
          <w:rFonts w:ascii="Arial" w:hAnsi="Arial" w:cs="Arial"/>
        </w:rPr>
      </w:pPr>
    </w:p>
    <w:p w14:paraId="3D9AA4B4" w14:textId="3E2525AA" w:rsidR="00A93FE6" w:rsidRPr="00E51164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E51164">
        <w:rPr>
          <w:rFonts w:ascii="Arial" w:hAnsi="Arial" w:cs="Arial"/>
          <w:b/>
        </w:rPr>
        <w:t>Descritores</w:t>
      </w:r>
      <w:r w:rsidRPr="00E51164">
        <w:rPr>
          <w:rFonts w:ascii="Arial" w:hAnsi="Arial" w:cs="Arial"/>
        </w:rPr>
        <w:t xml:space="preserve">: </w:t>
      </w:r>
      <w:r w:rsidR="00652D67" w:rsidRPr="00652D67">
        <w:rPr>
          <w:rFonts w:ascii="Arial" w:hAnsi="Arial" w:cs="Arial"/>
        </w:rPr>
        <w:t>Excisão cirúrgica</w:t>
      </w:r>
      <w:r w:rsidR="00652D67">
        <w:rPr>
          <w:rFonts w:ascii="Arial" w:hAnsi="Arial" w:cs="Arial"/>
        </w:rPr>
        <w:t>.</w:t>
      </w:r>
      <w:r w:rsidR="00652D67" w:rsidRPr="00652D67">
        <w:t xml:space="preserve"> </w:t>
      </w:r>
      <w:r w:rsidR="00652D67" w:rsidRPr="00652D67">
        <w:rPr>
          <w:rFonts w:ascii="Arial" w:hAnsi="Arial" w:cs="Arial"/>
        </w:rPr>
        <w:t xml:space="preserve">Granuloma </w:t>
      </w:r>
      <w:proofErr w:type="spellStart"/>
      <w:r w:rsidR="00652D67" w:rsidRPr="00652D67">
        <w:rPr>
          <w:rFonts w:ascii="Arial" w:hAnsi="Arial" w:cs="Arial"/>
        </w:rPr>
        <w:t>piogênico</w:t>
      </w:r>
      <w:proofErr w:type="spellEnd"/>
      <w:r w:rsidR="00652D67">
        <w:rPr>
          <w:rFonts w:ascii="Arial" w:hAnsi="Arial" w:cs="Arial"/>
        </w:rPr>
        <w:t>.</w:t>
      </w:r>
      <w:r w:rsidR="00652D67" w:rsidRPr="00652D67">
        <w:t xml:space="preserve"> </w:t>
      </w:r>
      <w:r w:rsidR="00652D67" w:rsidRPr="00652D67">
        <w:rPr>
          <w:rFonts w:ascii="Arial" w:hAnsi="Arial" w:cs="Arial"/>
        </w:rPr>
        <w:t>Diagnóstico histopatológico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65BCC9A" w14:textId="400A5CF5" w:rsidR="00BD3669" w:rsidRDefault="000B32B4" w:rsidP="000B32B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14:paraId="22F9D292" w14:textId="77777777" w:rsidR="000B32B4" w:rsidRDefault="000B32B4" w:rsidP="000B32B4">
      <w:pPr>
        <w:spacing w:line="360" w:lineRule="auto"/>
        <w:jc w:val="center"/>
        <w:rPr>
          <w:rFonts w:ascii="Arial" w:hAnsi="Arial" w:cs="Arial"/>
          <w:b/>
        </w:rPr>
      </w:pPr>
    </w:p>
    <w:p w14:paraId="1ACCE75E" w14:textId="4746D4A9" w:rsidR="005D73BD" w:rsidRPr="005D73BD" w:rsidRDefault="005D73BD" w:rsidP="000B32B4">
      <w:pPr>
        <w:rPr>
          <w:rFonts w:ascii="Arial" w:hAnsi="Arial" w:cs="Arial"/>
        </w:rPr>
      </w:pPr>
      <w:r>
        <w:rPr>
          <w:rFonts w:ascii="Arial" w:hAnsi="Arial" w:cs="Arial"/>
        </w:rPr>
        <w:t>AVELAR,</w:t>
      </w:r>
      <w:r w:rsidRPr="005D73BD">
        <w:rPr>
          <w:rFonts w:ascii="Arial" w:hAnsi="Arial" w:cs="Arial"/>
        </w:rPr>
        <w:t xml:space="preserve"> Rafael </w:t>
      </w:r>
      <w:proofErr w:type="spellStart"/>
      <w:r w:rsidRPr="005D73BD">
        <w:rPr>
          <w:rFonts w:ascii="Arial" w:hAnsi="Arial" w:cs="Arial"/>
        </w:rPr>
        <w:t>Linard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 xml:space="preserve"> </w:t>
      </w:r>
      <w:r w:rsidRPr="005D73BD">
        <w:rPr>
          <w:rFonts w:ascii="Arial" w:hAnsi="Arial" w:cs="Arial"/>
        </w:rPr>
        <w:t xml:space="preserve">Granuloma </w:t>
      </w:r>
      <w:proofErr w:type="spellStart"/>
      <w:r w:rsidRPr="005D73BD">
        <w:rPr>
          <w:rFonts w:ascii="Arial" w:hAnsi="Arial" w:cs="Arial"/>
        </w:rPr>
        <w:t>piogênico</w:t>
      </w:r>
      <w:proofErr w:type="spellEnd"/>
      <w:r w:rsidRPr="005D73BD">
        <w:rPr>
          <w:rFonts w:ascii="Arial" w:hAnsi="Arial" w:cs="Arial"/>
        </w:rPr>
        <w:t xml:space="preserve"> oral: um estudo epidemiológico de 191 casos</w:t>
      </w:r>
      <w:r>
        <w:rPr>
          <w:rFonts w:ascii="Arial" w:hAnsi="Arial" w:cs="Arial"/>
        </w:rPr>
        <w:t>.</w:t>
      </w:r>
      <w:r w:rsidRPr="005D73BD">
        <w:t xml:space="preserve"> </w:t>
      </w:r>
      <w:r w:rsidRPr="005D73BD">
        <w:rPr>
          <w:rFonts w:ascii="Arial" w:hAnsi="Arial" w:cs="Arial"/>
          <w:b/>
        </w:rPr>
        <w:t>RGO</w:t>
      </w:r>
      <w:r w:rsidRPr="005D73BD">
        <w:rPr>
          <w:rFonts w:ascii="Arial" w:hAnsi="Arial" w:cs="Arial"/>
        </w:rPr>
        <w:t>, Porto Alegre, v. 56, n.</w:t>
      </w:r>
      <w:r>
        <w:rPr>
          <w:rFonts w:ascii="Arial" w:hAnsi="Arial" w:cs="Arial"/>
        </w:rPr>
        <w:t xml:space="preserve"> </w:t>
      </w:r>
      <w:r w:rsidRPr="005D73BD">
        <w:rPr>
          <w:rFonts w:ascii="Arial" w:hAnsi="Arial" w:cs="Arial"/>
        </w:rPr>
        <w:t>2, p. 131-135, abr./jun. 2008</w:t>
      </w:r>
      <w:r>
        <w:rPr>
          <w:rFonts w:ascii="Arial" w:hAnsi="Arial" w:cs="Arial"/>
        </w:rPr>
        <w:t xml:space="preserve">. Disponível em: </w:t>
      </w:r>
      <w:hyperlink r:id="rId8" w:history="1">
        <w:r w:rsidRPr="00601CB2">
          <w:rPr>
            <w:rStyle w:val="Hyperlink"/>
            <w:rFonts w:ascii="Arial" w:hAnsi="Arial" w:cs="Arial"/>
          </w:rPr>
          <w:t>http://www.revistargo.com.br/include/getdoc.php?id=2167&amp;article=773&amp;mode=pdf</w:t>
        </w:r>
      </w:hyperlink>
      <w:r>
        <w:rPr>
          <w:rFonts w:ascii="Arial" w:hAnsi="Arial" w:cs="Arial"/>
        </w:rPr>
        <w:t xml:space="preserve">. Acesso em: 20 mai. 2025. </w:t>
      </w:r>
    </w:p>
    <w:p w14:paraId="41D4D1B2" w14:textId="77777777" w:rsidR="005D73BD" w:rsidRDefault="005D73BD" w:rsidP="000B32B4">
      <w:pPr>
        <w:rPr>
          <w:rFonts w:ascii="Arial" w:hAnsi="Arial" w:cs="Arial"/>
        </w:rPr>
      </w:pPr>
    </w:p>
    <w:p w14:paraId="650FF0CC" w14:textId="3B04C3FC" w:rsidR="000B32B4" w:rsidRDefault="000B32B4" w:rsidP="000B3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GOMES, </w:t>
      </w:r>
      <w:r w:rsidRPr="000B32B4">
        <w:rPr>
          <w:rFonts w:ascii="Arial" w:hAnsi="Arial" w:cs="Arial"/>
        </w:rPr>
        <w:t xml:space="preserve">Maira </w:t>
      </w:r>
      <w:proofErr w:type="spellStart"/>
      <w:r w:rsidRPr="000B32B4">
        <w:rPr>
          <w:rFonts w:ascii="Arial" w:hAnsi="Arial" w:cs="Arial"/>
        </w:rPr>
        <w:t>Janiely</w:t>
      </w:r>
      <w:proofErr w:type="spellEnd"/>
      <w:r w:rsidRPr="000B32B4">
        <w:rPr>
          <w:rFonts w:ascii="Arial" w:hAnsi="Arial" w:cs="Arial"/>
        </w:rPr>
        <w:t xml:space="preserve"> Porto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et al. </w:t>
      </w:r>
      <w:r w:rsidRPr="000B32B4">
        <w:rPr>
          <w:rFonts w:ascii="Arial" w:hAnsi="Arial" w:cs="Arial"/>
        </w:rPr>
        <w:t xml:space="preserve">Granuloma </w:t>
      </w:r>
      <w:proofErr w:type="spellStart"/>
      <w:r w:rsidRPr="000B32B4">
        <w:rPr>
          <w:rFonts w:ascii="Arial" w:hAnsi="Arial" w:cs="Arial"/>
        </w:rPr>
        <w:t>piogênico</w:t>
      </w:r>
      <w:proofErr w:type="spellEnd"/>
      <w:r w:rsidRPr="000B32B4">
        <w:rPr>
          <w:rFonts w:ascii="Arial" w:hAnsi="Arial" w:cs="Arial"/>
        </w:rPr>
        <w:t xml:space="preserve"> oral: relato de caso clínico</w:t>
      </w:r>
      <w:r>
        <w:rPr>
          <w:rFonts w:ascii="Arial" w:hAnsi="Arial" w:cs="Arial"/>
        </w:rPr>
        <w:t xml:space="preserve">. </w:t>
      </w:r>
      <w:proofErr w:type="spellStart"/>
      <w:r w:rsidRPr="000B32B4">
        <w:rPr>
          <w:rFonts w:ascii="Arial" w:hAnsi="Arial" w:cs="Arial"/>
          <w:b/>
        </w:rPr>
        <w:t>Research</w:t>
      </w:r>
      <w:proofErr w:type="spellEnd"/>
      <w:r w:rsidRPr="000B32B4">
        <w:rPr>
          <w:rFonts w:ascii="Arial" w:hAnsi="Arial" w:cs="Arial"/>
          <w:b/>
        </w:rPr>
        <w:t xml:space="preserve">, </w:t>
      </w:r>
      <w:proofErr w:type="spellStart"/>
      <w:r w:rsidRPr="000B32B4">
        <w:rPr>
          <w:rFonts w:ascii="Arial" w:hAnsi="Arial" w:cs="Arial"/>
          <w:b/>
        </w:rPr>
        <w:t>Society</w:t>
      </w:r>
      <w:proofErr w:type="spellEnd"/>
      <w:r w:rsidRPr="000B32B4">
        <w:rPr>
          <w:rFonts w:ascii="Arial" w:hAnsi="Arial" w:cs="Arial"/>
          <w:b/>
        </w:rPr>
        <w:t xml:space="preserve"> </w:t>
      </w:r>
      <w:proofErr w:type="spellStart"/>
      <w:r w:rsidRPr="000B32B4">
        <w:rPr>
          <w:rFonts w:ascii="Arial" w:hAnsi="Arial" w:cs="Arial"/>
          <w:b/>
        </w:rPr>
        <w:t>and</w:t>
      </w:r>
      <w:proofErr w:type="spellEnd"/>
      <w:r w:rsidRPr="000B32B4">
        <w:rPr>
          <w:rFonts w:ascii="Arial" w:hAnsi="Arial" w:cs="Arial"/>
          <w:b/>
        </w:rPr>
        <w:t xml:space="preserve"> </w:t>
      </w:r>
      <w:proofErr w:type="spellStart"/>
      <w:r w:rsidRPr="000B32B4">
        <w:rPr>
          <w:rFonts w:ascii="Arial" w:hAnsi="Arial" w:cs="Arial"/>
          <w:b/>
        </w:rPr>
        <w:t>Development</w:t>
      </w:r>
      <w:proofErr w:type="spellEnd"/>
      <w:r w:rsidRPr="000B32B4">
        <w:rPr>
          <w:rFonts w:ascii="Arial" w:hAnsi="Arial" w:cs="Arial"/>
        </w:rPr>
        <w:t>, v. 10, n. 16, e589101623876, 2021</w:t>
      </w:r>
      <w:r>
        <w:rPr>
          <w:rFonts w:ascii="Arial" w:hAnsi="Arial" w:cs="Arial"/>
        </w:rPr>
        <w:t xml:space="preserve">. Disponível em: </w:t>
      </w:r>
      <w:r w:rsidRPr="000B32B4">
        <w:rPr>
          <w:rFonts w:ascii="Arial" w:hAnsi="Arial" w:cs="Arial"/>
        </w:rPr>
        <w:t>https://rsdjournal.org/index.php/rsd/article/download/ 23876/21256/287911</w:t>
      </w:r>
      <w:r>
        <w:rPr>
          <w:rFonts w:ascii="Arial" w:hAnsi="Arial" w:cs="Arial"/>
        </w:rPr>
        <w:t>. Acesso em: 20 mai. 2025.</w:t>
      </w:r>
    </w:p>
    <w:p w14:paraId="598A057A" w14:textId="77777777" w:rsidR="000B32B4" w:rsidRDefault="000B32B4" w:rsidP="000B32B4">
      <w:pPr>
        <w:rPr>
          <w:rFonts w:ascii="Arial" w:hAnsi="Arial" w:cs="Arial"/>
        </w:rPr>
      </w:pPr>
    </w:p>
    <w:p w14:paraId="1F00F077" w14:textId="23A90EE0" w:rsidR="000B32B4" w:rsidRPr="005D73BD" w:rsidRDefault="005D73BD" w:rsidP="005D73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ROSA, </w:t>
      </w:r>
      <w:proofErr w:type="spellStart"/>
      <w:r w:rsidRPr="005D73BD">
        <w:rPr>
          <w:rFonts w:ascii="Arial" w:hAnsi="Arial" w:cs="Arial"/>
        </w:rPr>
        <w:t>Maíny</w:t>
      </w:r>
      <w:proofErr w:type="spellEnd"/>
      <w:r w:rsidRPr="005D73BD">
        <w:rPr>
          <w:rFonts w:ascii="Arial" w:hAnsi="Arial" w:cs="Arial"/>
        </w:rPr>
        <w:t xml:space="preserve"> dos Santos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 xml:space="preserve"> </w:t>
      </w:r>
      <w:r w:rsidRPr="005D73BD">
        <w:rPr>
          <w:rFonts w:ascii="Arial" w:hAnsi="Arial" w:cs="Arial"/>
        </w:rPr>
        <w:t xml:space="preserve">Granuloma </w:t>
      </w:r>
      <w:proofErr w:type="spellStart"/>
      <w:r w:rsidRPr="005D73BD">
        <w:rPr>
          <w:rFonts w:ascii="Arial" w:hAnsi="Arial" w:cs="Arial"/>
        </w:rPr>
        <w:t>p</w:t>
      </w:r>
      <w:r>
        <w:rPr>
          <w:rFonts w:ascii="Arial" w:hAnsi="Arial" w:cs="Arial"/>
        </w:rPr>
        <w:t>iogênico</w:t>
      </w:r>
      <w:proofErr w:type="spellEnd"/>
      <w:r>
        <w:rPr>
          <w:rFonts w:ascii="Arial" w:hAnsi="Arial" w:cs="Arial"/>
        </w:rPr>
        <w:t xml:space="preserve"> e doença periodontal: </w:t>
      </w:r>
      <w:r w:rsidRPr="005D73BD">
        <w:rPr>
          <w:rFonts w:ascii="Arial" w:hAnsi="Arial" w:cs="Arial"/>
        </w:rPr>
        <w:t>relato de caso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Revista FIMCA, </w:t>
      </w:r>
      <w:r>
        <w:rPr>
          <w:rFonts w:ascii="Arial" w:hAnsi="Arial" w:cs="Arial"/>
        </w:rPr>
        <w:t xml:space="preserve">v. 10, n. 3, 2023. Disponível em: </w:t>
      </w:r>
      <w:r w:rsidRPr="005D73BD">
        <w:rPr>
          <w:rFonts w:ascii="Arial" w:hAnsi="Arial" w:cs="Arial"/>
        </w:rPr>
        <w:t>https://ojs.fimca.com.br/index.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5D73BD">
        <w:rPr>
          <w:rFonts w:ascii="Arial" w:hAnsi="Arial" w:cs="Arial"/>
        </w:rPr>
        <w:t>php</w:t>
      </w:r>
      <w:proofErr w:type="spellEnd"/>
      <w:proofErr w:type="gramEnd"/>
      <w:r w:rsidRPr="005D73BD">
        <w:rPr>
          <w:rFonts w:ascii="Arial" w:hAnsi="Arial" w:cs="Arial"/>
        </w:rPr>
        <w:t>/</w:t>
      </w:r>
      <w:proofErr w:type="spellStart"/>
      <w:r w:rsidRPr="005D73BD">
        <w:rPr>
          <w:rFonts w:ascii="Arial" w:hAnsi="Arial" w:cs="Arial"/>
        </w:rPr>
        <w:t>fimca</w:t>
      </w:r>
      <w:proofErr w:type="spellEnd"/>
      <w:r w:rsidRPr="005D73BD">
        <w:rPr>
          <w:rFonts w:ascii="Arial" w:hAnsi="Arial" w:cs="Arial"/>
        </w:rPr>
        <w:t>/</w:t>
      </w:r>
      <w:proofErr w:type="spellStart"/>
      <w:r w:rsidRPr="005D73BD">
        <w:rPr>
          <w:rFonts w:ascii="Arial" w:hAnsi="Arial" w:cs="Arial"/>
        </w:rPr>
        <w:t>article</w:t>
      </w:r>
      <w:proofErr w:type="spellEnd"/>
      <w:r w:rsidRPr="005D73BD">
        <w:rPr>
          <w:rFonts w:ascii="Arial" w:hAnsi="Arial" w:cs="Arial"/>
        </w:rPr>
        <w:t>/</w:t>
      </w:r>
      <w:proofErr w:type="spellStart"/>
      <w:r w:rsidRPr="005D73BD">
        <w:rPr>
          <w:rFonts w:ascii="Arial" w:hAnsi="Arial" w:cs="Arial"/>
        </w:rPr>
        <w:t>view</w:t>
      </w:r>
      <w:proofErr w:type="spellEnd"/>
      <w:r w:rsidRPr="005D73BD">
        <w:rPr>
          <w:rFonts w:ascii="Arial" w:hAnsi="Arial" w:cs="Arial"/>
        </w:rPr>
        <w:t>/784</w:t>
      </w:r>
      <w:r>
        <w:rPr>
          <w:rFonts w:ascii="Arial" w:hAnsi="Arial" w:cs="Arial"/>
        </w:rPr>
        <w:t>.</w:t>
      </w:r>
      <w:r w:rsidRPr="005D73BD">
        <w:t xml:space="preserve"> </w:t>
      </w:r>
      <w:r w:rsidRPr="005D73BD">
        <w:rPr>
          <w:rFonts w:ascii="Arial" w:hAnsi="Arial" w:cs="Arial"/>
        </w:rPr>
        <w:t>Acesso em: 20 mai. 2025.</w:t>
      </w:r>
    </w:p>
    <w:p w14:paraId="361E11BB" w14:textId="77777777" w:rsidR="000B32B4" w:rsidRDefault="000B32B4" w:rsidP="000B32B4">
      <w:pPr>
        <w:spacing w:line="360" w:lineRule="auto"/>
        <w:rPr>
          <w:rFonts w:ascii="Arial" w:hAnsi="Arial" w:cs="Arial"/>
        </w:rPr>
      </w:pPr>
    </w:p>
    <w:p w14:paraId="3A9B0A00" w14:textId="77777777" w:rsidR="000B32B4" w:rsidRPr="000B32B4" w:rsidRDefault="000B32B4" w:rsidP="000B32B4">
      <w:pPr>
        <w:spacing w:line="360" w:lineRule="auto"/>
        <w:rPr>
          <w:rFonts w:ascii="Arial" w:hAnsi="Arial" w:cs="Arial"/>
        </w:rPr>
      </w:pPr>
    </w:p>
    <w:sectPr w:rsidR="000B32B4" w:rsidRPr="000B32B4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FDCE7" w14:textId="77777777" w:rsidR="00850906" w:rsidRDefault="00850906" w:rsidP="00D479CD">
      <w:r>
        <w:separator/>
      </w:r>
    </w:p>
  </w:endnote>
  <w:endnote w:type="continuationSeparator" w:id="0">
    <w:p w14:paraId="3E4ECB84" w14:textId="77777777" w:rsidR="00850906" w:rsidRDefault="00850906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966C43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0F27B" w14:textId="77777777" w:rsidR="00850906" w:rsidRDefault="00850906" w:rsidP="00D479CD">
      <w:r>
        <w:separator/>
      </w:r>
    </w:p>
  </w:footnote>
  <w:footnote w:type="continuationSeparator" w:id="0">
    <w:p w14:paraId="48EB4329" w14:textId="77777777" w:rsidR="00850906" w:rsidRDefault="00850906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</w:t>
      </w:r>
      <w:bookmarkStart w:id="0" w:name="_GoBack"/>
      <w:bookmarkEnd w:id="0"/>
      <w:r w:rsidRPr="00C707F3">
        <w:t>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796CD72B" w14:textId="10A54D94" w:rsidR="000C3456" w:rsidRDefault="000C34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C3456">
        <w:t xml:space="preserve">Autor. Estudante do curso de graduação em Odontologia no Centro Universitário Santo Agostinho (UNIFSA).   </w:t>
      </w:r>
    </w:p>
  </w:footnote>
  <w:footnote w:id="5">
    <w:p w14:paraId="490C11C3" w14:textId="2987A014" w:rsidR="00602425" w:rsidRDefault="0060242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02425">
        <w:t xml:space="preserve">Autor. Estudante do curso de graduação em Odontologia no </w:t>
      </w:r>
      <w:r w:rsidR="00966C43" w:rsidRPr="00966C43">
        <w:t>Centro Universitário Maurício de Nassau</w:t>
      </w:r>
      <w:r w:rsidRPr="00602425">
        <w:t xml:space="preserve">.   </w:t>
      </w:r>
    </w:p>
  </w:footnote>
  <w:footnote w:id="6">
    <w:p w14:paraId="7C10330F" w14:textId="7076BABF" w:rsidR="00602425" w:rsidRDefault="0060242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02425">
        <w:t>Autor. Estudante do curso de graduação em Odontologia no Centro Universitário</w:t>
      </w:r>
      <w:r w:rsidR="00966C43">
        <w:t xml:space="preserve"> </w:t>
      </w:r>
      <w:proofErr w:type="spellStart"/>
      <w:r w:rsidR="00966C43">
        <w:t>Uninovafapi</w:t>
      </w:r>
      <w:proofErr w:type="spellEnd"/>
      <w:r w:rsidRPr="00602425">
        <w:t xml:space="preserve">.   </w:t>
      </w:r>
    </w:p>
  </w:footnote>
  <w:footnote w:id="7">
    <w:p w14:paraId="11564B24" w14:textId="35ECEF12" w:rsidR="00966C43" w:rsidRDefault="00966C43">
      <w:pPr>
        <w:pStyle w:val="Textodenotaderodap"/>
      </w:pPr>
      <w:r>
        <w:rPr>
          <w:rStyle w:val="Refdenotaderodap"/>
        </w:rPr>
        <w:footnoteRef/>
      </w:r>
      <w:r>
        <w:t xml:space="preserve"> Autor. Professora </w:t>
      </w:r>
      <w:r w:rsidRPr="00966C43">
        <w:t>do curso de graduação em Odontologia no Centro Universitário Santo Agostinho (UNIFSA).</w:t>
      </w:r>
    </w:p>
  </w:footnote>
  <w:footnote w:id="8">
    <w:p w14:paraId="3046F6A8" w14:textId="55E81DF6" w:rsidR="000C3456" w:rsidRDefault="000C34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36EC5" w:rsidRPr="00C36EC5">
        <w:t xml:space="preserve">Cirurgião </w:t>
      </w:r>
      <w:proofErr w:type="spellStart"/>
      <w:r w:rsidR="00C36EC5" w:rsidRPr="00C36EC5">
        <w:t>Bucomaxilofacial</w:t>
      </w:r>
      <w:proofErr w:type="spellEnd"/>
      <w:r w:rsidR="00C36EC5" w:rsidRPr="00C36EC5">
        <w:t>, Mestrando do Programa de Pós-graduação em Odontologia - UFPI (PPGO/UFPI).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052F"/>
    <w:rsid w:val="000772C8"/>
    <w:rsid w:val="00080594"/>
    <w:rsid w:val="00084E36"/>
    <w:rsid w:val="00097A75"/>
    <w:rsid w:val="000A235A"/>
    <w:rsid w:val="000A63F1"/>
    <w:rsid w:val="000B32B4"/>
    <w:rsid w:val="000B4D4F"/>
    <w:rsid w:val="000C237C"/>
    <w:rsid w:val="000C3456"/>
    <w:rsid w:val="000D3B0F"/>
    <w:rsid w:val="000E12B5"/>
    <w:rsid w:val="000E4839"/>
    <w:rsid w:val="000E4A03"/>
    <w:rsid w:val="000E59B2"/>
    <w:rsid w:val="000E62E2"/>
    <w:rsid w:val="000F365D"/>
    <w:rsid w:val="00101C49"/>
    <w:rsid w:val="00106398"/>
    <w:rsid w:val="00113939"/>
    <w:rsid w:val="001141E4"/>
    <w:rsid w:val="00115455"/>
    <w:rsid w:val="00115FBA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D512B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676F5"/>
    <w:rsid w:val="00272A19"/>
    <w:rsid w:val="002841AB"/>
    <w:rsid w:val="00284E49"/>
    <w:rsid w:val="00286672"/>
    <w:rsid w:val="00297586"/>
    <w:rsid w:val="002A1961"/>
    <w:rsid w:val="002A4061"/>
    <w:rsid w:val="002B3E3D"/>
    <w:rsid w:val="002C4AE7"/>
    <w:rsid w:val="002D08D6"/>
    <w:rsid w:val="002D1E5C"/>
    <w:rsid w:val="002D2B60"/>
    <w:rsid w:val="002E3603"/>
    <w:rsid w:val="002F22F3"/>
    <w:rsid w:val="00300359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3F7D70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06"/>
    <w:rsid w:val="00493AAF"/>
    <w:rsid w:val="004B1062"/>
    <w:rsid w:val="004C1017"/>
    <w:rsid w:val="004C40C8"/>
    <w:rsid w:val="004C5652"/>
    <w:rsid w:val="004D10B9"/>
    <w:rsid w:val="004D38E1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5EA4"/>
    <w:rsid w:val="00586872"/>
    <w:rsid w:val="005877F3"/>
    <w:rsid w:val="005A395B"/>
    <w:rsid w:val="005B01B6"/>
    <w:rsid w:val="005B34FB"/>
    <w:rsid w:val="005C013E"/>
    <w:rsid w:val="005D02EE"/>
    <w:rsid w:val="005D6BA0"/>
    <w:rsid w:val="005D73BD"/>
    <w:rsid w:val="005F2AE3"/>
    <w:rsid w:val="005F5A2C"/>
    <w:rsid w:val="00601C54"/>
    <w:rsid w:val="00602425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2D67"/>
    <w:rsid w:val="00656033"/>
    <w:rsid w:val="00670C02"/>
    <w:rsid w:val="0067530F"/>
    <w:rsid w:val="0068200C"/>
    <w:rsid w:val="00684235"/>
    <w:rsid w:val="006857B2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E50AE"/>
    <w:rsid w:val="0071054B"/>
    <w:rsid w:val="00711CC5"/>
    <w:rsid w:val="007148B7"/>
    <w:rsid w:val="007228CE"/>
    <w:rsid w:val="00725A81"/>
    <w:rsid w:val="00731455"/>
    <w:rsid w:val="0073419E"/>
    <w:rsid w:val="00736CCC"/>
    <w:rsid w:val="00736D5B"/>
    <w:rsid w:val="007425EE"/>
    <w:rsid w:val="00742AEA"/>
    <w:rsid w:val="00753034"/>
    <w:rsid w:val="00771462"/>
    <w:rsid w:val="00771C63"/>
    <w:rsid w:val="00772246"/>
    <w:rsid w:val="00773972"/>
    <w:rsid w:val="007879B9"/>
    <w:rsid w:val="00793AF4"/>
    <w:rsid w:val="00796DB9"/>
    <w:rsid w:val="007A151D"/>
    <w:rsid w:val="007A5B42"/>
    <w:rsid w:val="007B4E05"/>
    <w:rsid w:val="007B65AF"/>
    <w:rsid w:val="007D029F"/>
    <w:rsid w:val="007D17A1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0906"/>
    <w:rsid w:val="00856577"/>
    <w:rsid w:val="00860DB1"/>
    <w:rsid w:val="00861385"/>
    <w:rsid w:val="008629EA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66C43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94399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A7F8C"/>
    <w:rsid w:val="00BB0A02"/>
    <w:rsid w:val="00BB1A64"/>
    <w:rsid w:val="00BB6117"/>
    <w:rsid w:val="00BC567F"/>
    <w:rsid w:val="00BC7358"/>
    <w:rsid w:val="00BD31F0"/>
    <w:rsid w:val="00BD3669"/>
    <w:rsid w:val="00BD40B5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36EC5"/>
    <w:rsid w:val="00C44FE3"/>
    <w:rsid w:val="00C51B91"/>
    <w:rsid w:val="00C532C7"/>
    <w:rsid w:val="00C5591C"/>
    <w:rsid w:val="00C61778"/>
    <w:rsid w:val="00C707F3"/>
    <w:rsid w:val="00C71A61"/>
    <w:rsid w:val="00C8113A"/>
    <w:rsid w:val="00C8743C"/>
    <w:rsid w:val="00C939F6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E84"/>
    <w:rsid w:val="00D27F9F"/>
    <w:rsid w:val="00D31943"/>
    <w:rsid w:val="00D329F1"/>
    <w:rsid w:val="00D41993"/>
    <w:rsid w:val="00D42D9F"/>
    <w:rsid w:val="00D4422D"/>
    <w:rsid w:val="00D460FF"/>
    <w:rsid w:val="00D4781B"/>
    <w:rsid w:val="00D479CD"/>
    <w:rsid w:val="00D47DD4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00CA"/>
    <w:rsid w:val="00E15DBB"/>
    <w:rsid w:val="00E2016B"/>
    <w:rsid w:val="00E270FA"/>
    <w:rsid w:val="00E31948"/>
    <w:rsid w:val="00E37C67"/>
    <w:rsid w:val="00E43EBA"/>
    <w:rsid w:val="00E43F02"/>
    <w:rsid w:val="00E43F3E"/>
    <w:rsid w:val="00E51164"/>
    <w:rsid w:val="00E52341"/>
    <w:rsid w:val="00E5323C"/>
    <w:rsid w:val="00E62173"/>
    <w:rsid w:val="00E62912"/>
    <w:rsid w:val="00E637F2"/>
    <w:rsid w:val="00E71AE3"/>
    <w:rsid w:val="00E86721"/>
    <w:rsid w:val="00E87E0D"/>
    <w:rsid w:val="00EB70FE"/>
    <w:rsid w:val="00ED2314"/>
    <w:rsid w:val="00ED427F"/>
    <w:rsid w:val="00ED73FC"/>
    <w:rsid w:val="00EE7200"/>
    <w:rsid w:val="00EE7270"/>
    <w:rsid w:val="00EF578D"/>
    <w:rsid w:val="00EF5AF0"/>
    <w:rsid w:val="00F00487"/>
    <w:rsid w:val="00F12230"/>
    <w:rsid w:val="00F13534"/>
    <w:rsid w:val="00F513C3"/>
    <w:rsid w:val="00F57E8E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7605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rgo.com.br/include/getdoc.php?id=2167&amp;article=773&amp;mode=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E55B-54B1-4986-83E5-A7C72E59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84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Conta da Microsoft</cp:lastModifiedBy>
  <cp:revision>12</cp:revision>
  <cp:lastPrinted>2019-06-27T19:23:00Z</cp:lastPrinted>
  <dcterms:created xsi:type="dcterms:W3CDTF">2025-05-22T23:48:00Z</dcterms:created>
  <dcterms:modified xsi:type="dcterms:W3CDTF">2025-05-23T22:54:00Z</dcterms:modified>
</cp:coreProperties>
</file>