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DA GASTRECTOMIA NO TRATAMENTO DE CÂNCER GÁSTRICO E TUMORES: ANÁLISE DE SOBREVIDA E RECIDIVA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13E4B21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479095D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João Pedro Soares Machado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joao.machado@ufpa.br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 da Silva Novaes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andrezamed21@gmail.com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gastrectomia parcial é frequentemente indicada para tumores gástricos, como schwannomas, melanomas primários e carcinomas, mas seus efeitos na sobrevida e na recidiva ainda demandam avaliação detalhada, especialmente diante de tumores raros ou múltiplos primários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o impacto da gastrectomia parcial na sobrevida e na recidiva em pacientes com tumores gástricos, incluindo schwannomas, melanomas e carcinomas associados a múltiplos primários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Realizou-se uma revisão sistemática das publicações disponíveis na base PubMed dos últimos 10 anos. Foram incluídos estudos que abordaram a ressecção parcial do estômago para o tratamento de neoplasias gástricas, com análise de sobrevida, recorrência e eventuais complicações pós-operatórias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Em schwannomas gástricos, 140 pacientes submetidos à gastrectomia parcial apresentaram sobrevida mediana de 38 meses sem recorrência local, enquanto apenas 0,7% (1/140) desenvolveu metástase hepática. Para melanomas gástricos primários, 52% dos 25 pacientes tratados com gastrectomia parcial tiveram recidiva em 5 meses, com sobrevida de 5 anos em 12%. Em carcinomas gástricos com tumor renal sincrônico, a gastrectomia parcial associada à nefrectomia resultou em ausência de recidiva local em um caso único, mas metástases hepáticas ocorreram em 0,7% (1/148) dos pacientes com cirurgia esticada, com óbito em 33 meses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gastrectomia parcial é eficaz para schwannomas gástricos, com alta sobrevida e baixa recidiva, mas menos favorável em melanomas primários devido à agressividade e rápida recorrência. Em casos de tumores múltiplos, o controle local é viável, porém metástases distantes limitam a sobrevida. Esses achados destacam a necessidade de estratégias personalizadas e acompanhamento rigoroso pós-operatório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Gastrectomia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Câncer gástrico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Sobrevida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D914F51"/>
    <w:rsid w:val="32DE7916"/>
    <w:rsid w:val="3AD47447"/>
    <w:rsid w:val="3E7B428B"/>
    <w:rsid w:val="4B365A74"/>
    <w:rsid w:val="51B5749B"/>
    <w:rsid w:val="5BC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4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524D6F36CF964886A9754066DC0EEF84_13</vt:lpwstr>
  </property>
</Properties>
</file>