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BC73E" w14:textId="552B3FB8" w:rsidR="006805B0" w:rsidRPr="00E233F8" w:rsidRDefault="006805B0" w:rsidP="006805B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6805B0">
        <w:rPr>
          <w:rFonts w:ascii="Arial" w:eastAsia="Arial" w:hAnsi="Arial" w:cs="Arial"/>
          <w:b/>
          <w:noProof/>
          <w:sz w:val="24"/>
          <w:szCs w:val="24"/>
        </w:rPr>
        <w:t>AVALIAÇÃO DO POTENCIA</w:t>
      </w:r>
      <w:r w:rsidR="00602671">
        <w:rPr>
          <w:rFonts w:ascii="Arial" w:eastAsia="Arial" w:hAnsi="Arial" w:cs="Arial"/>
          <w:b/>
          <w:noProof/>
          <w:sz w:val="24"/>
          <w:szCs w:val="24"/>
        </w:rPr>
        <w:t>L CITOTÓXICO</w:t>
      </w:r>
      <w:r w:rsidRPr="006805B0">
        <w:rPr>
          <w:rFonts w:ascii="Arial" w:eastAsia="Arial" w:hAnsi="Arial" w:cs="Arial"/>
          <w:b/>
          <w:noProof/>
          <w:sz w:val="24"/>
          <w:szCs w:val="24"/>
        </w:rPr>
        <w:t xml:space="preserve"> NO RIO LONTRA, UTILIZANDO </w:t>
      </w:r>
      <w:r w:rsidRPr="00E233F8">
        <w:rPr>
          <w:rFonts w:ascii="Arial" w:eastAsia="Arial" w:hAnsi="Arial" w:cs="Arial"/>
          <w:b/>
          <w:noProof/>
          <w:sz w:val="24"/>
          <w:szCs w:val="24"/>
        </w:rPr>
        <w:t xml:space="preserve">BIOENSAIOS COM </w:t>
      </w:r>
      <w:r w:rsidRPr="00E233F8">
        <w:rPr>
          <w:rFonts w:ascii="Arial" w:eastAsia="Arial" w:hAnsi="Arial" w:cs="Arial"/>
          <w:b/>
          <w:i/>
          <w:noProof/>
          <w:sz w:val="24"/>
          <w:szCs w:val="24"/>
        </w:rPr>
        <w:t>Allium cepa</w:t>
      </w:r>
    </w:p>
    <w:p w14:paraId="75663959" w14:textId="43C3A8F9" w:rsidR="00930701" w:rsidRPr="00DA6D84" w:rsidRDefault="00486485" w:rsidP="00E233F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E233F8">
        <w:rPr>
          <w:rFonts w:ascii="Arial" w:eastAsia="Arial" w:hAnsi="Arial" w:cs="Arial"/>
          <w:sz w:val="24"/>
          <w:szCs w:val="24"/>
        </w:rPr>
        <w:t xml:space="preserve">          </w:t>
      </w:r>
      <w:r w:rsidR="005F174B" w:rsidRPr="00C42011">
        <w:rPr>
          <w:rFonts w:ascii="Arial" w:eastAsia="Arial" w:hAnsi="Arial" w:cs="Arial"/>
          <w:b/>
          <w:sz w:val="24"/>
          <w:szCs w:val="24"/>
        </w:rPr>
        <w:t>LIMA</w:t>
      </w:r>
      <w:r w:rsidRPr="00C42011">
        <w:rPr>
          <w:rFonts w:ascii="Arial" w:eastAsia="Arial" w:hAnsi="Arial" w:cs="Arial"/>
          <w:sz w:val="24"/>
          <w:szCs w:val="24"/>
        </w:rPr>
        <w:t xml:space="preserve">, </w:t>
      </w:r>
      <w:r w:rsidR="00C42011" w:rsidRPr="00C42011">
        <w:rPr>
          <w:rFonts w:ascii="Arial" w:eastAsia="Arial" w:hAnsi="Arial" w:cs="Arial"/>
          <w:sz w:val="24"/>
          <w:szCs w:val="24"/>
        </w:rPr>
        <w:t>Sabrina da Mata</w:t>
      </w:r>
      <w:r w:rsidRPr="00C42011">
        <w:rPr>
          <w:rStyle w:val="ncoradanotaderodap"/>
          <w:rFonts w:ascii="Arial" w:eastAsia="Arial" w:hAnsi="Arial" w:cs="Arial"/>
          <w:sz w:val="24"/>
          <w:szCs w:val="24"/>
        </w:rPr>
        <w:footnoteReference w:id="1"/>
      </w:r>
      <w:r w:rsidRPr="00C42011">
        <w:rPr>
          <w:rFonts w:ascii="Arial" w:eastAsia="Arial" w:hAnsi="Arial" w:cs="Arial"/>
          <w:sz w:val="24"/>
          <w:szCs w:val="24"/>
        </w:rPr>
        <w:t xml:space="preserve">; </w:t>
      </w:r>
      <w:r w:rsidR="00C42011" w:rsidRPr="00DA6D84">
        <w:rPr>
          <w:rFonts w:ascii="Arial" w:eastAsia="Arial" w:hAnsi="Arial" w:cs="Arial"/>
          <w:b/>
          <w:sz w:val="24"/>
          <w:szCs w:val="24"/>
        </w:rPr>
        <w:t>MORON</w:t>
      </w:r>
      <w:r w:rsidRPr="00DA6D84">
        <w:rPr>
          <w:rFonts w:ascii="Arial" w:eastAsia="Arial" w:hAnsi="Arial" w:cs="Arial"/>
          <w:sz w:val="24"/>
          <w:szCs w:val="24"/>
        </w:rPr>
        <w:t xml:space="preserve">, </w:t>
      </w:r>
      <w:r w:rsidR="00C42011" w:rsidRPr="00DA6D84">
        <w:rPr>
          <w:rFonts w:ascii="Arial" w:eastAsia="Arial" w:hAnsi="Arial" w:cs="Arial"/>
          <w:sz w:val="24"/>
          <w:szCs w:val="24"/>
        </w:rPr>
        <w:t>Sandro Estevan</w:t>
      </w:r>
      <w:r w:rsidRPr="00DA6D84">
        <w:rPr>
          <w:rStyle w:val="ncoradanotaderodap"/>
          <w:rFonts w:ascii="Arial" w:eastAsia="Arial" w:hAnsi="Arial" w:cs="Arial"/>
          <w:sz w:val="24"/>
          <w:szCs w:val="24"/>
        </w:rPr>
        <w:footnoteReference w:id="2"/>
      </w:r>
    </w:p>
    <w:p w14:paraId="4B036BBC" w14:textId="635B210D" w:rsidR="00C42011" w:rsidRDefault="00486485" w:rsidP="00C42011">
      <w:pPr>
        <w:widowControl w:val="0"/>
        <w:spacing w:after="0" w:line="360" w:lineRule="auto"/>
        <w:jc w:val="center"/>
      </w:pPr>
      <w:r>
        <w:rPr>
          <w:rFonts w:ascii="Arial" w:eastAsia="Arial" w:hAnsi="Arial" w:cs="Arial"/>
          <w:b/>
          <w:sz w:val="24"/>
          <w:szCs w:val="24"/>
        </w:rPr>
        <w:t>RESUMO</w:t>
      </w:r>
      <w:r w:rsidR="00C42011" w:rsidRPr="00C42011">
        <w:t xml:space="preserve"> </w:t>
      </w:r>
    </w:p>
    <w:p w14:paraId="5826DD21" w14:textId="6E93E832" w:rsidR="00DA068F" w:rsidRPr="00F94B7A" w:rsidRDefault="00DA068F" w:rsidP="00F94B7A">
      <w:pPr>
        <w:spacing w:after="0" w:line="24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DA068F">
        <w:rPr>
          <w:rFonts w:ascii="Arial" w:hAnsi="Arial" w:cs="Arial"/>
          <w:sz w:val="24"/>
          <w:szCs w:val="24"/>
        </w:rPr>
        <w:t>Este trabalho teve como objetivo avaliar o po</w:t>
      </w:r>
      <w:r>
        <w:rPr>
          <w:rFonts w:ascii="Arial" w:hAnsi="Arial" w:cs="Arial"/>
          <w:sz w:val="24"/>
          <w:szCs w:val="24"/>
        </w:rPr>
        <w:t xml:space="preserve">tencial citotóxico </w:t>
      </w:r>
      <w:r w:rsidRPr="00DA068F">
        <w:rPr>
          <w:rFonts w:ascii="Arial" w:eastAsia="Arial" w:hAnsi="Arial" w:cs="Arial"/>
          <w:bCs/>
          <w:sz w:val="24"/>
          <w:szCs w:val="24"/>
        </w:rPr>
        <w:t>no Lago Azul, Rio Lontra, em Araguaína-TO</w:t>
      </w:r>
      <w:r w:rsidRPr="00DA068F">
        <w:rPr>
          <w:rFonts w:ascii="Arial" w:hAnsi="Arial" w:cs="Arial"/>
          <w:sz w:val="24"/>
          <w:szCs w:val="24"/>
        </w:rPr>
        <w:t xml:space="preserve">, utilizando bioensaios com </w:t>
      </w:r>
      <w:r w:rsidRPr="00DA068F">
        <w:rPr>
          <w:rFonts w:ascii="Arial" w:hAnsi="Arial" w:cs="Arial"/>
          <w:i/>
          <w:sz w:val="24"/>
          <w:szCs w:val="24"/>
        </w:rPr>
        <w:t>Allium ce</w:t>
      </w:r>
      <w:r w:rsidRPr="00DA068F">
        <w:rPr>
          <w:rFonts w:ascii="Arial" w:hAnsi="Arial" w:cs="Arial"/>
          <w:sz w:val="24"/>
          <w:szCs w:val="24"/>
        </w:rPr>
        <w:t>pa.</w:t>
      </w:r>
      <w:r w:rsidR="00E50797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mostras de água de dois</w:t>
      </w:r>
      <w:r w:rsidRPr="00DA068F">
        <w:rPr>
          <w:rFonts w:ascii="Arial" w:hAnsi="Arial" w:cs="Arial"/>
          <w:sz w:val="24"/>
          <w:szCs w:val="24"/>
        </w:rPr>
        <w:t xml:space="preserve"> diferent</w:t>
      </w:r>
      <w:r>
        <w:rPr>
          <w:rFonts w:ascii="Arial" w:hAnsi="Arial" w:cs="Arial"/>
          <w:sz w:val="24"/>
          <w:szCs w:val="24"/>
        </w:rPr>
        <w:t>es pontos do Lago Azul</w:t>
      </w:r>
      <w:r w:rsidR="00F94B7A">
        <w:rPr>
          <w:rFonts w:ascii="Arial" w:hAnsi="Arial" w:cs="Arial"/>
          <w:sz w:val="24"/>
          <w:szCs w:val="24"/>
        </w:rPr>
        <w:t xml:space="preserve"> foram coletadas e analisados os par</w:t>
      </w:r>
      <w:r w:rsidR="00E50797">
        <w:rPr>
          <w:rFonts w:ascii="Arial" w:hAnsi="Arial" w:cs="Arial"/>
          <w:sz w:val="24"/>
          <w:szCs w:val="24"/>
        </w:rPr>
        <w:t>â</w:t>
      </w:r>
      <w:r w:rsidR="00F94B7A">
        <w:rPr>
          <w:rFonts w:ascii="Arial" w:hAnsi="Arial" w:cs="Arial"/>
          <w:sz w:val="24"/>
          <w:szCs w:val="24"/>
        </w:rPr>
        <w:t xml:space="preserve">metros </w:t>
      </w:r>
      <w:r w:rsidR="00A821D8">
        <w:rPr>
          <w:rFonts w:ascii="Arial" w:hAnsi="Arial" w:cs="Arial"/>
          <w:sz w:val="24"/>
          <w:szCs w:val="24"/>
        </w:rPr>
        <w:t>físico-químicos</w:t>
      </w:r>
      <w:r w:rsidR="00F94B7A">
        <w:rPr>
          <w:rFonts w:ascii="Arial" w:hAnsi="Arial" w:cs="Arial"/>
          <w:sz w:val="24"/>
          <w:szCs w:val="24"/>
        </w:rPr>
        <w:t xml:space="preserve"> e em seguida</w:t>
      </w:r>
      <w:r w:rsidR="00A821D8">
        <w:rPr>
          <w:rFonts w:ascii="Arial" w:hAnsi="Arial" w:cs="Arial"/>
          <w:sz w:val="24"/>
          <w:szCs w:val="24"/>
        </w:rPr>
        <w:t xml:space="preserve"> a exposição do</w:t>
      </w:r>
      <w:r w:rsidRPr="00DA068F">
        <w:rPr>
          <w:rFonts w:ascii="Arial" w:hAnsi="Arial" w:cs="Arial"/>
          <w:sz w:val="24"/>
          <w:szCs w:val="24"/>
        </w:rPr>
        <w:t xml:space="preserve"> </w:t>
      </w:r>
      <w:r w:rsidRPr="00DA068F">
        <w:rPr>
          <w:rFonts w:ascii="Arial" w:hAnsi="Arial" w:cs="Arial"/>
          <w:i/>
          <w:sz w:val="24"/>
          <w:szCs w:val="24"/>
        </w:rPr>
        <w:t>Allium cepa</w:t>
      </w:r>
      <w:r w:rsidRPr="00DA068F">
        <w:rPr>
          <w:rFonts w:ascii="Arial" w:hAnsi="Arial" w:cs="Arial"/>
          <w:sz w:val="24"/>
          <w:szCs w:val="24"/>
        </w:rPr>
        <w:t xml:space="preserve"> </w:t>
      </w:r>
      <w:r w:rsidR="00A821D8">
        <w:rPr>
          <w:rFonts w:ascii="Arial" w:hAnsi="Arial" w:cs="Arial"/>
          <w:sz w:val="24"/>
          <w:szCs w:val="24"/>
        </w:rPr>
        <w:t>(72 horas exposição)</w:t>
      </w:r>
      <w:r w:rsidRPr="00DA068F">
        <w:rPr>
          <w:rFonts w:ascii="Arial" w:hAnsi="Arial" w:cs="Arial"/>
          <w:sz w:val="24"/>
          <w:szCs w:val="24"/>
        </w:rPr>
        <w:t xml:space="preserve"> e </w:t>
      </w:r>
      <w:r w:rsidR="00F94B7A">
        <w:rPr>
          <w:rFonts w:ascii="Arial" w:hAnsi="Arial" w:cs="Arial"/>
          <w:sz w:val="24"/>
          <w:szCs w:val="24"/>
        </w:rPr>
        <w:t>coleta de raízes para confecção</w:t>
      </w:r>
      <w:r w:rsidRPr="00DA068F">
        <w:rPr>
          <w:rFonts w:ascii="Arial" w:hAnsi="Arial" w:cs="Arial"/>
          <w:sz w:val="24"/>
          <w:szCs w:val="24"/>
        </w:rPr>
        <w:t xml:space="preserve"> das lâminas </w:t>
      </w:r>
      <w:r w:rsidR="00216416">
        <w:rPr>
          <w:rFonts w:ascii="Arial" w:hAnsi="Arial" w:cs="Arial"/>
          <w:sz w:val="24"/>
          <w:szCs w:val="24"/>
        </w:rPr>
        <w:t>histológicas onde</w:t>
      </w:r>
      <w:r w:rsidRPr="00DA068F">
        <w:rPr>
          <w:rFonts w:ascii="Arial" w:hAnsi="Arial" w:cs="Arial"/>
          <w:sz w:val="24"/>
          <w:szCs w:val="24"/>
        </w:rPr>
        <w:t xml:space="preserve"> observou</w:t>
      </w:r>
      <w:r w:rsidR="00216416">
        <w:rPr>
          <w:rFonts w:ascii="Arial" w:hAnsi="Arial" w:cs="Arial"/>
          <w:sz w:val="24"/>
          <w:szCs w:val="24"/>
        </w:rPr>
        <w:t>-se</w:t>
      </w:r>
      <w:r w:rsidRPr="00DA068F">
        <w:rPr>
          <w:rFonts w:ascii="Arial" w:hAnsi="Arial" w:cs="Arial"/>
          <w:sz w:val="24"/>
          <w:szCs w:val="24"/>
        </w:rPr>
        <w:t xml:space="preserve"> o </w:t>
      </w:r>
      <w:r w:rsidR="00216416">
        <w:rPr>
          <w:rFonts w:ascii="Arial" w:hAnsi="Arial" w:cs="Arial"/>
          <w:sz w:val="24"/>
          <w:szCs w:val="24"/>
        </w:rPr>
        <w:t xml:space="preserve">índice mitótico </w:t>
      </w:r>
      <w:r w:rsidR="00A821D8">
        <w:rPr>
          <w:rFonts w:ascii="Arial" w:hAnsi="Arial" w:cs="Arial"/>
          <w:sz w:val="24"/>
          <w:szCs w:val="24"/>
        </w:rPr>
        <w:t xml:space="preserve">e </w:t>
      </w:r>
      <w:r w:rsidR="00A821D8" w:rsidRPr="00D54C96">
        <w:rPr>
          <w:rFonts w:ascii="Arial" w:hAnsi="Arial" w:cs="Arial"/>
          <w:sz w:val="24"/>
          <w:szCs w:val="24"/>
        </w:rPr>
        <w:t>as anormalidades mitóticas</w:t>
      </w:r>
      <w:r w:rsidR="00A821D8">
        <w:rPr>
          <w:rFonts w:ascii="Arial" w:hAnsi="Arial" w:cs="Arial"/>
          <w:sz w:val="24"/>
          <w:szCs w:val="24"/>
        </w:rPr>
        <w:t xml:space="preserve">. </w:t>
      </w:r>
      <w:r w:rsidR="00A821D8">
        <w:rPr>
          <w:rFonts w:ascii="Arial" w:eastAsia="Arial" w:hAnsi="Arial" w:cs="Arial"/>
          <w:sz w:val="24"/>
          <w:szCs w:val="24"/>
        </w:rPr>
        <w:t>O</w:t>
      </w:r>
      <w:r w:rsidR="00A821D8" w:rsidRPr="00D54C96">
        <w:rPr>
          <w:rFonts w:ascii="Arial" w:eastAsia="Arial" w:hAnsi="Arial" w:cs="Arial"/>
          <w:sz w:val="24"/>
          <w:szCs w:val="24"/>
        </w:rPr>
        <w:t>s result</w:t>
      </w:r>
      <w:r w:rsidR="00A821D8">
        <w:rPr>
          <w:rFonts w:ascii="Arial" w:eastAsia="Arial" w:hAnsi="Arial" w:cs="Arial"/>
          <w:sz w:val="24"/>
          <w:szCs w:val="24"/>
        </w:rPr>
        <w:t>ados das análises físico-químico</w:t>
      </w:r>
      <w:r w:rsidR="00A821D8" w:rsidRPr="00D54C96">
        <w:rPr>
          <w:rFonts w:ascii="Arial" w:eastAsia="Arial" w:hAnsi="Arial" w:cs="Arial"/>
          <w:sz w:val="24"/>
          <w:szCs w:val="24"/>
        </w:rPr>
        <w:t>s estão em conformidade, exceto pelo pH abaixo do recomendado no ponto denominado "praia da via lago", enquanto os demais parâmetros estão dentro dos limites aceitáveis</w:t>
      </w:r>
      <w:r w:rsidR="00A821D8">
        <w:rPr>
          <w:rFonts w:ascii="Arial" w:eastAsia="Arial" w:hAnsi="Arial" w:cs="Arial"/>
          <w:sz w:val="24"/>
          <w:szCs w:val="24"/>
        </w:rPr>
        <w:t xml:space="preserve">. </w:t>
      </w:r>
      <w:r w:rsidR="00A821D8" w:rsidRPr="00D54C96">
        <w:rPr>
          <w:rFonts w:ascii="Arial" w:eastAsia="Arial" w:hAnsi="Arial" w:cs="Arial"/>
          <w:sz w:val="24"/>
          <w:szCs w:val="24"/>
        </w:rPr>
        <w:t>A investigação das amostras</w:t>
      </w:r>
      <w:r w:rsidR="00F94B7A">
        <w:rPr>
          <w:rFonts w:ascii="Arial" w:eastAsia="Arial" w:hAnsi="Arial" w:cs="Arial"/>
          <w:sz w:val="24"/>
          <w:szCs w:val="24"/>
        </w:rPr>
        <w:t xml:space="preserve"> de água</w:t>
      </w:r>
      <w:r w:rsidR="00A821D8" w:rsidRPr="00D54C96">
        <w:rPr>
          <w:rFonts w:ascii="Arial" w:eastAsia="Arial" w:hAnsi="Arial" w:cs="Arial"/>
          <w:sz w:val="24"/>
          <w:szCs w:val="24"/>
        </w:rPr>
        <w:t xml:space="preserve"> do Rio Lontra revelou diferenças celulares significativas entre os pontos de coleta, evidenciadas nos Índices Mitótico (IM) e de Anormalidade Celular (AC). A análi</w:t>
      </w:r>
      <w:r w:rsidR="00F94B7A">
        <w:rPr>
          <w:rFonts w:ascii="Arial" w:eastAsia="Arial" w:hAnsi="Arial" w:cs="Arial"/>
          <w:sz w:val="24"/>
          <w:szCs w:val="24"/>
        </w:rPr>
        <w:t>se estatística</w:t>
      </w:r>
      <w:r w:rsidR="00A821D8" w:rsidRPr="00D54C96">
        <w:rPr>
          <w:rFonts w:ascii="Arial" w:eastAsia="Arial" w:hAnsi="Arial" w:cs="Arial"/>
          <w:sz w:val="24"/>
          <w:szCs w:val="24"/>
        </w:rPr>
        <w:t xml:space="preserve"> indicou que o ponto "Foz do Neblina", que recebe água do córrego Neblina</w:t>
      </w:r>
      <w:r w:rsidR="00F94B7A">
        <w:rPr>
          <w:rFonts w:ascii="Arial" w:eastAsia="Arial" w:hAnsi="Arial" w:cs="Arial"/>
          <w:sz w:val="24"/>
          <w:szCs w:val="24"/>
        </w:rPr>
        <w:t>, apresentou um alto Índice de anormalidade c</w:t>
      </w:r>
      <w:r w:rsidR="00A821D8" w:rsidRPr="00D54C96">
        <w:rPr>
          <w:rFonts w:ascii="Arial" w:eastAsia="Arial" w:hAnsi="Arial" w:cs="Arial"/>
          <w:sz w:val="24"/>
          <w:szCs w:val="24"/>
        </w:rPr>
        <w:t xml:space="preserve">elular comparado ao </w:t>
      </w:r>
      <w:r w:rsidR="00F94B7A">
        <w:rPr>
          <w:rFonts w:ascii="Arial" w:eastAsia="Arial" w:hAnsi="Arial" w:cs="Arial"/>
          <w:sz w:val="24"/>
          <w:szCs w:val="24"/>
        </w:rPr>
        <w:t xml:space="preserve">grupo </w:t>
      </w:r>
      <w:r w:rsidR="00A821D8" w:rsidRPr="00D54C96">
        <w:rPr>
          <w:rFonts w:ascii="Arial" w:eastAsia="Arial" w:hAnsi="Arial" w:cs="Arial"/>
          <w:sz w:val="24"/>
          <w:szCs w:val="24"/>
        </w:rPr>
        <w:t>controle</w:t>
      </w:r>
      <w:r w:rsidR="00F94B7A">
        <w:rPr>
          <w:rFonts w:ascii="Arial" w:eastAsia="Arial" w:hAnsi="Arial" w:cs="Arial"/>
          <w:sz w:val="24"/>
          <w:szCs w:val="24"/>
        </w:rPr>
        <w:t xml:space="preserve"> (água mineral)</w:t>
      </w:r>
      <w:r w:rsidR="00A821D8" w:rsidRPr="00D54C96">
        <w:rPr>
          <w:rFonts w:ascii="Arial" w:eastAsia="Arial" w:hAnsi="Arial" w:cs="Arial"/>
          <w:sz w:val="24"/>
          <w:szCs w:val="24"/>
        </w:rPr>
        <w:t xml:space="preserve">. Esse aumento no AC foi relacionado a aberrações cromossômicas, como </w:t>
      </w:r>
      <w:r w:rsidR="00A821D8" w:rsidRPr="00A821D8">
        <w:rPr>
          <w:rFonts w:ascii="Arial" w:eastAsia="Arial" w:hAnsi="Arial" w:cs="Arial"/>
          <w:i/>
          <w:sz w:val="24"/>
          <w:szCs w:val="24"/>
        </w:rPr>
        <w:t>stathmo-anáfase</w:t>
      </w:r>
      <w:r w:rsidR="00A821D8" w:rsidRPr="00D54C96">
        <w:rPr>
          <w:rFonts w:ascii="Arial" w:eastAsia="Arial" w:hAnsi="Arial" w:cs="Arial"/>
          <w:sz w:val="24"/>
          <w:szCs w:val="24"/>
        </w:rPr>
        <w:t xml:space="preserve"> e </w:t>
      </w:r>
      <w:r w:rsidR="00A821D8" w:rsidRPr="00A821D8">
        <w:rPr>
          <w:rFonts w:ascii="Arial" w:eastAsia="Arial" w:hAnsi="Arial" w:cs="Arial"/>
          <w:i/>
          <w:sz w:val="24"/>
          <w:szCs w:val="24"/>
        </w:rPr>
        <w:t>pontes anafásicas</w:t>
      </w:r>
      <w:r w:rsidR="00A821D8" w:rsidRPr="00D54C96">
        <w:rPr>
          <w:rFonts w:ascii="Arial" w:eastAsia="Arial" w:hAnsi="Arial" w:cs="Arial"/>
          <w:sz w:val="24"/>
          <w:szCs w:val="24"/>
        </w:rPr>
        <w:t>, sugerin</w:t>
      </w:r>
      <w:r w:rsidR="00F94B7A">
        <w:rPr>
          <w:rFonts w:ascii="Arial" w:eastAsia="Arial" w:hAnsi="Arial" w:cs="Arial"/>
          <w:sz w:val="24"/>
          <w:szCs w:val="24"/>
        </w:rPr>
        <w:t>do a presença de xenobióticos</w:t>
      </w:r>
      <w:r w:rsidR="00A821D8" w:rsidRPr="00D54C96">
        <w:rPr>
          <w:rFonts w:ascii="Arial" w:eastAsia="Arial" w:hAnsi="Arial" w:cs="Arial"/>
          <w:sz w:val="24"/>
          <w:szCs w:val="24"/>
        </w:rPr>
        <w:t xml:space="preserve"> na água que estão danificando o DNA e prejudicando a divisão celular.</w:t>
      </w:r>
      <w:r w:rsidR="00F94B7A">
        <w:rPr>
          <w:rFonts w:ascii="Arial" w:eastAsia="Arial" w:hAnsi="Arial" w:cs="Arial"/>
          <w:sz w:val="24"/>
          <w:szCs w:val="24"/>
        </w:rPr>
        <w:t xml:space="preserve"> O </w:t>
      </w:r>
      <w:r w:rsidR="00A821D8" w:rsidRPr="00D54C96">
        <w:rPr>
          <w:rFonts w:ascii="Arial" w:eastAsia="Arial" w:hAnsi="Arial" w:cs="Arial"/>
          <w:sz w:val="24"/>
          <w:szCs w:val="24"/>
        </w:rPr>
        <w:t>Índice Mitótico no ponto "Foz do Neblina"</w:t>
      </w:r>
      <w:r w:rsidR="00A821D8">
        <w:rPr>
          <w:rFonts w:ascii="Arial" w:eastAsia="Arial" w:hAnsi="Arial" w:cs="Arial"/>
          <w:sz w:val="24"/>
          <w:szCs w:val="24"/>
        </w:rPr>
        <w:t xml:space="preserve"> </w:t>
      </w:r>
      <w:r w:rsidR="00A821D8" w:rsidRPr="00D54C96">
        <w:rPr>
          <w:rFonts w:ascii="Arial" w:eastAsia="Arial" w:hAnsi="Arial" w:cs="Arial"/>
          <w:sz w:val="24"/>
          <w:szCs w:val="24"/>
        </w:rPr>
        <w:t>foi significativamente menor que o controle, indicando uma redução na atividade mitótica e possíveis impactos na fisiologia celular. Em contraste, o ponto "Prainha da Via Lago" não apresentou diferenças significativas em relação a</w:t>
      </w:r>
      <w:r w:rsidR="00F94B7A">
        <w:rPr>
          <w:rFonts w:ascii="Arial" w:eastAsia="Arial" w:hAnsi="Arial" w:cs="Arial"/>
          <w:sz w:val="24"/>
          <w:szCs w:val="24"/>
        </w:rPr>
        <w:t xml:space="preserve">o controle para os dois índices. </w:t>
      </w:r>
      <w:r w:rsidR="00F94B7A" w:rsidRPr="00F94B7A">
        <w:rPr>
          <w:rFonts w:ascii="Arial" w:eastAsia="Arial" w:hAnsi="Arial" w:cs="Arial"/>
          <w:sz w:val="24"/>
          <w:szCs w:val="24"/>
        </w:rPr>
        <w:t>Testar a toxicidade das águas do</w:t>
      </w:r>
      <w:r w:rsidR="00F94B7A">
        <w:rPr>
          <w:rFonts w:ascii="Arial" w:eastAsia="Arial" w:hAnsi="Arial" w:cs="Arial"/>
          <w:sz w:val="24"/>
          <w:szCs w:val="24"/>
        </w:rPr>
        <w:t xml:space="preserve"> Lago Azul/ R</w:t>
      </w:r>
      <w:r w:rsidR="00F94B7A" w:rsidRPr="00F94B7A">
        <w:rPr>
          <w:rFonts w:ascii="Arial" w:eastAsia="Arial" w:hAnsi="Arial" w:cs="Arial"/>
          <w:sz w:val="24"/>
          <w:szCs w:val="24"/>
        </w:rPr>
        <w:t>io Lontra é fundamental para co</w:t>
      </w:r>
      <w:r w:rsidR="00F94B7A">
        <w:rPr>
          <w:rFonts w:ascii="Arial" w:eastAsia="Arial" w:hAnsi="Arial" w:cs="Arial"/>
          <w:sz w:val="24"/>
          <w:szCs w:val="24"/>
        </w:rPr>
        <w:t>nhecer a influência dos</w:t>
      </w:r>
      <w:r w:rsidR="00F94B7A" w:rsidRPr="00F94B7A">
        <w:rPr>
          <w:rFonts w:ascii="Arial" w:eastAsia="Arial" w:hAnsi="Arial" w:cs="Arial"/>
          <w:sz w:val="24"/>
          <w:szCs w:val="24"/>
        </w:rPr>
        <w:t xml:space="preserve"> xenobióticos na comunidade biológica, já que por vezes essas águas apresentam-se em conformidade com os padrões físico-químicos de qualidade definidos pela legislação.</w:t>
      </w:r>
    </w:p>
    <w:p w14:paraId="13764231" w14:textId="28574C3B" w:rsidR="00930701" w:rsidRPr="00C42011" w:rsidRDefault="00486485" w:rsidP="00F94B7A">
      <w:pPr>
        <w:widowControl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C42011" w:rsidRPr="00C42011">
        <w:rPr>
          <w:rFonts w:ascii="Arial" w:eastAsia="Arial" w:hAnsi="Arial" w:cs="Arial"/>
          <w:i/>
          <w:iCs/>
          <w:sz w:val="24"/>
          <w:szCs w:val="24"/>
        </w:rPr>
        <w:t>Allium cepa</w:t>
      </w:r>
      <w:r w:rsidR="00C42011">
        <w:rPr>
          <w:rFonts w:ascii="Arial" w:eastAsia="Arial" w:hAnsi="Arial" w:cs="Arial"/>
          <w:sz w:val="24"/>
          <w:szCs w:val="24"/>
        </w:rPr>
        <w:t>, bioindicador</w:t>
      </w:r>
      <w:r w:rsidR="00216416">
        <w:rPr>
          <w:rFonts w:ascii="Arial" w:eastAsia="Arial" w:hAnsi="Arial" w:cs="Arial"/>
          <w:sz w:val="24"/>
          <w:szCs w:val="24"/>
        </w:rPr>
        <w:t>,</w:t>
      </w:r>
      <w:r w:rsidR="00C42011">
        <w:rPr>
          <w:rFonts w:ascii="Arial" w:eastAsia="Arial" w:hAnsi="Arial" w:cs="Arial"/>
          <w:sz w:val="24"/>
          <w:szCs w:val="24"/>
        </w:rPr>
        <w:t xml:space="preserve"> </w:t>
      </w:r>
      <w:r w:rsidR="00216416">
        <w:rPr>
          <w:rFonts w:ascii="Arial" w:eastAsia="Arial" w:hAnsi="Arial" w:cs="Arial"/>
          <w:sz w:val="24"/>
          <w:szCs w:val="24"/>
        </w:rPr>
        <w:t>citogenotoxicidade, ecotoxicologia</w:t>
      </w:r>
    </w:p>
    <w:p w14:paraId="232C4A72" w14:textId="7A115203" w:rsidR="00150DAD" w:rsidRDefault="00486485" w:rsidP="00C42011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</w:t>
      </w:r>
    </w:p>
    <w:p w14:paraId="619BD9B5" w14:textId="77777777" w:rsidR="001E5B3B" w:rsidRDefault="00486485" w:rsidP="001E5B3B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C42011">
        <w:rPr>
          <w:rFonts w:ascii="Arial" w:eastAsia="Arial" w:hAnsi="Arial" w:cs="Arial"/>
          <w:b/>
          <w:sz w:val="24"/>
          <w:szCs w:val="24"/>
        </w:rPr>
        <w:t>INTRODUÇÃO/JUSTIFICATIVA</w:t>
      </w:r>
    </w:p>
    <w:p w14:paraId="17715044" w14:textId="59A67323" w:rsidR="001E5B3B" w:rsidRPr="001E5B3B" w:rsidRDefault="001E5B3B" w:rsidP="00D54C96">
      <w:pPr>
        <w:spacing w:after="0" w:line="360" w:lineRule="auto"/>
        <w:ind w:firstLine="357"/>
        <w:jc w:val="both"/>
        <w:rPr>
          <w:rFonts w:ascii="Arial" w:eastAsia="Arial" w:hAnsi="Arial" w:cs="Arial"/>
          <w:b/>
          <w:sz w:val="24"/>
          <w:szCs w:val="24"/>
        </w:rPr>
      </w:pPr>
      <w:r w:rsidRPr="001E5B3B">
        <w:rPr>
          <w:rFonts w:ascii="Arial" w:hAnsi="Arial" w:cs="Arial"/>
          <w:sz w:val="24"/>
          <w:szCs w:val="24"/>
        </w:rPr>
        <w:t xml:space="preserve">A poluição aquática é um grave problema ambiental global, com efluentes industriais, agrícolas e domésticos contendo substâncias tóxicas que afetam organismos aquáticos. O crescimento urbano compromete a sustentabilidade hídrica, </w:t>
      </w:r>
      <w:r w:rsidRPr="001E5B3B">
        <w:rPr>
          <w:rFonts w:ascii="Arial" w:hAnsi="Arial" w:cs="Arial"/>
          <w:sz w:val="24"/>
          <w:szCs w:val="24"/>
        </w:rPr>
        <w:lastRenderedPageBreak/>
        <w:t>aumentando o despejo de efluentes não tratados e resíduos, resultando em poluição genotóxica significativa (ALI et al., 2019; LIU and LI, 2010). Mesmo em baixas concentrações, esses poluentes são perigosos para ecossistemas, podendo causar danos ao DNA e aumentar o risco de câncer (BELPOMME et al., 2007; BOLOGNESI; HAYASHI, 2011).</w:t>
      </w:r>
    </w:p>
    <w:p w14:paraId="7120F1C7" w14:textId="77777777" w:rsidR="001E5B3B" w:rsidRPr="001E5B3B" w:rsidRDefault="001E5B3B" w:rsidP="00D54C96">
      <w:pPr>
        <w:pStyle w:val="PargrafodaLista"/>
        <w:spacing w:after="0" w:line="360" w:lineRule="auto"/>
        <w:ind w:left="0" w:firstLine="357"/>
        <w:jc w:val="both"/>
        <w:rPr>
          <w:rFonts w:ascii="Arial" w:hAnsi="Arial" w:cs="Arial"/>
          <w:sz w:val="24"/>
          <w:szCs w:val="24"/>
        </w:rPr>
      </w:pPr>
      <w:r w:rsidRPr="001E5B3B">
        <w:rPr>
          <w:rFonts w:ascii="Arial" w:hAnsi="Arial" w:cs="Arial"/>
          <w:sz w:val="24"/>
          <w:szCs w:val="24"/>
        </w:rPr>
        <w:t xml:space="preserve">O teste com </w:t>
      </w:r>
      <w:r w:rsidRPr="009C36AC">
        <w:rPr>
          <w:rFonts w:ascii="Arial" w:hAnsi="Arial" w:cs="Arial"/>
          <w:i/>
          <w:sz w:val="24"/>
          <w:szCs w:val="24"/>
        </w:rPr>
        <w:t>Allium cepa</w:t>
      </w:r>
      <w:r w:rsidRPr="001E5B3B">
        <w:rPr>
          <w:rFonts w:ascii="Arial" w:hAnsi="Arial" w:cs="Arial"/>
          <w:sz w:val="24"/>
          <w:szCs w:val="24"/>
        </w:rPr>
        <w:t xml:space="preserve"> é amplamente utilizado para avaliar a qualidade da água, analisando efeitos citotóxicos e genotóxicos (VESNA et al., 1996; ANACLETO et al., 2017). Estudos revelam que rios e açudes estão contaminados por efluentes e agrotóxicos (WHITE; RASMUSSEN, 1998). O teste de </w:t>
      </w:r>
      <w:r w:rsidRPr="009C36AC">
        <w:rPr>
          <w:rFonts w:ascii="Arial" w:hAnsi="Arial" w:cs="Arial"/>
          <w:i/>
          <w:sz w:val="24"/>
          <w:szCs w:val="24"/>
        </w:rPr>
        <w:t>Allium cepa</w:t>
      </w:r>
      <w:r w:rsidRPr="001E5B3B">
        <w:rPr>
          <w:rFonts w:ascii="Arial" w:hAnsi="Arial" w:cs="Arial"/>
          <w:sz w:val="24"/>
          <w:szCs w:val="24"/>
        </w:rPr>
        <w:t>, reconhecido por sua eficácia e baixo custo, é uma importante ferramenta para avaliar a genotoxicidade de águas contaminadas (EVSEEVA et al., 2003).</w:t>
      </w:r>
    </w:p>
    <w:p w14:paraId="6B881FBE" w14:textId="77777777" w:rsidR="001E5B3B" w:rsidRPr="001E5B3B" w:rsidRDefault="001E5B3B" w:rsidP="00D54C96">
      <w:pPr>
        <w:pStyle w:val="PargrafodaLista"/>
        <w:spacing w:after="0" w:line="360" w:lineRule="auto"/>
        <w:ind w:left="0" w:firstLine="357"/>
        <w:jc w:val="both"/>
        <w:rPr>
          <w:rFonts w:ascii="Arial" w:hAnsi="Arial" w:cs="Arial"/>
          <w:sz w:val="24"/>
          <w:szCs w:val="24"/>
        </w:rPr>
      </w:pPr>
    </w:p>
    <w:p w14:paraId="35CE1F13" w14:textId="30DD280B" w:rsidR="00930701" w:rsidRPr="00AD01F7" w:rsidRDefault="00486485" w:rsidP="00AD01F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AD01F7">
        <w:rPr>
          <w:rFonts w:ascii="Arial" w:eastAsia="Arial" w:hAnsi="Arial" w:cs="Arial"/>
          <w:b/>
          <w:sz w:val="24"/>
          <w:szCs w:val="24"/>
        </w:rPr>
        <w:t>OBJETIVOS</w:t>
      </w:r>
    </w:p>
    <w:p w14:paraId="79558EE3" w14:textId="1A3E9C09" w:rsidR="000A7B5B" w:rsidRPr="00C42011" w:rsidRDefault="000A7B5B" w:rsidP="00D54C96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C42011">
        <w:rPr>
          <w:rFonts w:ascii="Arial" w:hAnsi="Arial" w:cs="Arial"/>
          <w:sz w:val="24"/>
          <w:szCs w:val="24"/>
        </w:rPr>
        <w:t>O presente trabalho investigou efeitos citotóxicos</w:t>
      </w:r>
      <w:r w:rsidR="00602671">
        <w:rPr>
          <w:rFonts w:ascii="Arial" w:hAnsi="Arial" w:cs="Arial"/>
          <w:sz w:val="24"/>
          <w:szCs w:val="24"/>
        </w:rPr>
        <w:t xml:space="preserve"> </w:t>
      </w:r>
      <w:r w:rsidRPr="00C42011">
        <w:rPr>
          <w:rFonts w:ascii="Arial" w:hAnsi="Arial" w:cs="Arial"/>
          <w:sz w:val="24"/>
          <w:szCs w:val="24"/>
        </w:rPr>
        <w:t>das águas do</w:t>
      </w:r>
      <w:r w:rsidR="00E50797">
        <w:rPr>
          <w:rFonts w:ascii="Arial" w:hAnsi="Arial" w:cs="Arial"/>
          <w:sz w:val="24"/>
          <w:szCs w:val="24"/>
        </w:rPr>
        <w:t xml:space="preserve"> Lago Azul/ R</w:t>
      </w:r>
      <w:r w:rsidRPr="00C42011">
        <w:rPr>
          <w:rFonts w:ascii="Arial" w:hAnsi="Arial" w:cs="Arial"/>
          <w:sz w:val="24"/>
          <w:szCs w:val="24"/>
        </w:rPr>
        <w:t xml:space="preserve">io Lontra, mediante a utilização de bioensaios com o organismo </w:t>
      </w:r>
      <w:r w:rsidR="00602671">
        <w:rPr>
          <w:rFonts w:ascii="Arial" w:hAnsi="Arial" w:cs="Arial"/>
          <w:sz w:val="24"/>
          <w:szCs w:val="24"/>
        </w:rPr>
        <w:t>T</w:t>
      </w:r>
      <w:r w:rsidRPr="00C42011">
        <w:rPr>
          <w:rFonts w:ascii="Arial" w:hAnsi="Arial" w:cs="Arial"/>
          <w:sz w:val="24"/>
          <w:szCs w:val="24"/>
        </w:rPr>
        <w:t xml:space="preserve">este </w:t>
      </w:r>
      <w:r w:rsidRPr="00C42011">
        <w:rPr>
          <w:rFonts w:ascii="Arial" w:hAnsi="Arial" w:cs="Arial"/>
          <w:i/>
          <w:iCs/>
          <w:sz w:val="24"/>
          <w:szCs w:val="24"/>
        </w:rPr>
        <w:t>Allium cepa</w:t>
      </w:r>
      <w:r w:rsidR="00C42011" w:rsidRPr="00C42011">
        <w:rPr>
          <w:rFonts w:ascii="Arial" w:hAnsi="Arial" w:cs="Arial"/>
          <w:i/>
          <w:iCs/>
          <w:sz w:val="24"/>
          <w:szCs w:val="24"/>
        </w:rPr>
        <w:t>.</w:t>
      </w:r>
      <w:r w:rsidR="00486485" w:rsidRPr="00C42011">
        <w:rPr>
          <w:rFonts w:ascii="Arial" w:eastAsia="Arial" w:hAnsi="Arial" w:cs="Arial"/>
          <w:sz w:val="24"/>
          <w:szCs w:val="24"/>
        </w:rPr>
        <w:t xml:space="preserve">                </w:t>
      </w:r>
    </w:p>
    <w:p w14:paraId="13F67348" w14:textId="32C355FD" w:rsidR="000A7B5B" w:rsidRPr="00C42011" w:rsidRDefault="000A7B5B" w:rsidP="00D54C96">
      <w:pPr>
        <w:spacing w:line="360" w:lineRule="auto"/>
        <w:ind w:firstLine="357"/>
        <w:jc w:val="both"/>
        <w:rPr>
          <w:rFonts w:ascii="Arial" w:hAnsi="Arial" w:cs="Arial"/>
          <w:b/>
          <w:sz w:val="24"/>
          <w:szCs w:val="24"/>
        </w:rPr>
      </w:pPr>
      <w:r w:rsidRPr="00C42011">
        <w:rPr>
          <w:rFonts w:ascii="Arial" w:hAnsi="Arial" w:cs="Arial"/>
          <w:b/>
          <w:sz w:val="24"/>
          <w:szCs w:val="24"/>
        </w:rPr>
        <w:t>Objetivos específicos</w:t>
      </w:r>
    </w:p>
    <w:p w14:paraId="6385953A" w14:textId="34905A1A" w:rsidR="00D54C96" w:rsidRDefault="000A7B5B" w:rsidP="00D54C96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C42011">
        <w:rPr>
          <w:rFonts w:ascii="Arial" w:hAnsi="Arial" w:cs="Arial"/>
          <w:b/>
          <w:sz w:val="24"/>
          <w:szCs w:val="24"/>
        </w:rPr>
        <w:t xml:space="preserve"> </w:t>
      </w:r>
      <w:r w:rsidR="00D54C96" w:rsidRPr="00D54C96">
        <w:rPr>
          <w:rFonts w:ascii="Arial" w:hAnsi="Arial" w:cs="Arial"/>
          <w:sz w:val="24"/>
          <w:szCs w:val="24"/>
        </w:rPr>
        <w:t xml:space="preserve">1) Calculou o índice mitótico e analisou as anormalidades mitóticas em células meristemáticas das raízes de </w:t>
      </w:r>
      <w:r w:rsidR="00D54C96" w:rsidRPr="00A821D8">
        <w:rPr>
          <w:rFonts w:ascii="Arial" w:hAnsi="Arial" w:cs="Arial"/>
          <w:i/>
          <w:sz w:val="24"/>
          <w:szCs w:val="24"/>
        </w:rPr>
        <w:t>Allium cep</w:t>
      </w:r>
      <w:r w:rsidR="00D54C96" w:rsidRPr="00D54C96">
        <w:rPr>
          <w:rFonts w:ascii="Arial" w:hAnsi="Arial" w:cs="Arial"/>
          <w:sz w:val="24"/>
          <w:szCs w:val="24"/>
        </w:rPr>
        <w:t>a expostas em águas do rio Lontra.</w:t>
      </w:r>
    </w:p>
    <w:p w14:paraId="66DAC275" w14:textId="5CE02CB1" w:rsidR="000A7B5B" w:rsidRDefault="00D54C96" w:rsidP="00D54C96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D54C96">
        <w:rPr>
          <w:rFonts w:ascii="Arial" w:hAnsi="Arial" w:cs="Arial"/>
          <w:sz w:val="24"/>
          <w:szCs w:val="24"/>
        </w:rPr>
        <w:t>2) Monitorou parâmetros físico-químicos das águas do rio Lontra: pH, temperatura, oxigênio dissolvido, turbidez, condutividade elétrica, sólidos totais dissolvidos).</w:t>
      </w:r>
    </w:p>
    <w:p w14:paraId="6C1EF86A" w14:textId="77777777" w:rsidR="00E50797" w:rsidRPr="00D54C96" w:rsidRDefault="00E50797" w:rsidP="00D54C96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</w:p>
    <w:p w14:paraId="081A680C" w14:textId="184450CA" w:rsidR="00930701" w:rsidRDefault="00486485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METODOLOGIA</w:t>
      </w:r>
    </w:p>
    <w:p w14:paraId="2CC81AAC" w14:textId="3A8DA66B" w:rsidR="001101A7" w:rsidRPr="005E2B4B" w:rsidRDefault="001101A7" w:rsidP="001101A7">
      <w:pPr>
        <w:spacing w:after="0" w:line="360" w:lineRule="auto"/>
        <w:ind w:firstLine="357"/>
        <w:jc w:val="both"/>
        <w:rPr>
          <w:rFonts w:ascii="Arial" w:eastAsia="Arial" w:hAnsi="Arial" w:cs="Arial"/>
          <w:bCs/>
          <w:sz w:val="24"/>
          <w:szCs w:val="24"/>
        </w:rPr>
      </w:pPr>
      <w:r w:rsidRPr="005E2B4B">
        <w:rPr>
          <w:rFonts w:ascii="Arial" w:eastAsia="Arial" w:hAnsi="Arial" w:cs="Arial"/>
          <w:bCs/>
          <w:sz w:val="24"/>
          <w:szCs w:val="24"/>
        </w:rPr>
        <w:t>Os pontos de coleta foram no Lago Azul, Rio Lontra, em Araguaína-TO. Duas</w:t>
      </w:r>
      <w:r w:rsidR="004753F0">
        <w:rPr>
          <w:rFonts w:ascii="Arial" w:eastAsia="Arial" w:hAnsi="Arial" w:cs="Arial"/>
          <w:bCs/>
          <w:sz w:val="24"/>
          <w:szCs w:val="24"/>
        </w:rPr>
        <w:t xml:space="preserve"> campanhas ocorreram em outubro</w:t>
      </w:r>
      <w:bookmarkStart w:id="0" w:name="_GoBack"/>
      <w:bookmarkEnd w:id="0"/>
      <w:r w:rsidRPr="005E2B4B">
        <w:rPr>
          <w:rFonts w:ascii="Arial" w:eastAsia="Arial" w:hAnsi="Arial" w:cs="Arial"/>
          <w:bCs/>
          <w:sz w:val="24"/>
          <w:szCs w:val="24"/>
        </w:rPr>
        <w:t xml:space="preserve"> de 2023 e março de 2024, sendo a primeira para reconhecimento dos</w:t>
      </w:r>
      <w:r w:rsidR="00E50797">
        <w:rPr>
          <w:rFonts w:ascii="Arial" w:eastAsia="Arial" w:hAnsi="Arial" w:cs="Arial"/>
          <w:bCs/>
          <w:sz w:val="24"/>
          <w:szCs w:val="24"/>
        </w:rPr>
        <w:t xml:space="preserve"> locais e análise físico-químico</w:t>
      </w:r>
      <w:r w:rsidRPr="005E2B4B">
        <w:rPr>
          <w:rFonts w:ascii="Arial" w:eastAsia="Arial" w:hAnsi="Arial" w:cs="Arial"/>
          <w:bCs/>
          <w:sz w:val="24"/>
          <w:szCs w:val="24"/>
        </w:rPr>
        <w:t xml:space="preserve"> da água (pH, oxigênio, condutividade, sólidos totais e temperatura)</w:t>
      </w:r>
      <w:r w:rsidR="00877FA3">
        <w:rPr>
          <w:rFonts w:ascii="Arial" w:eastAsia="Arial" w:hAnsi="Arial" w:cs="Arial"/>
          <w:bCs/>
          <w:sz w:val="24"/>
          <w:szCs w:val="24"/>
        </w:rPr>
        <w:t xml:space="preserve"> com sonda multiparâmetros</w:t>
      </w:r>
      <w:r w:rsidRPr="005E2B4B">
        <w:rPr>
          <w:rFonts w:ascii="Arial" w:eastAsia="Arial" w:hAnsi="Arial" w:cs="Arial"/>
          <w:bCs/>
          <w:sz w:val="24"/>
          <w:szCs w:val="24"/>
        </w:rPr>
        <w:t>, e a segunda para coleta de amostras para bioensaios</w:t>
      </w:r>
      <w:r w:rsidR="00877FA3">
        <w:rPr>
          <w:rFonts w:ascii="Arial" w:eastAsia="Arial" w:hAnsi="Arial" w:cs="Arial"/>
          <w:bCs/>
          <w:sz w:val="24"/>
          <w:szCs w:val="24"/>
        </w:rPr>
        <w:t xml:space="preserve"> e análise dos parâmetros físicos-químicos</w:t>
      </w:r>
      <w:r w:rsidRPr="005E2B4B">
        <w:rPr>
          <w:rFonts w:ascii="Arial" w:eastAsia="Arial" w:hAnsi="Arial" w:cs="Arial"/>
          <w:bCs/>
          <w:sz w:val="24"/>
          <w:szCs w:val="24"/>
        </w:rPr>
        <w:t>. O Rio Lontra, classificado como classe II pela Resolução 357/05 do CONAMA, teve amostras coletadas superficialmente e transportadas a 4 ± 2 ºC até o laboratório.</w:t>
      </w:r>
    </w:p>
    <w:p w14:paraId="499E25A8" w14:textId="77777777" w:rsidR="00BC26BB" w:rsidRDefault="001101A7" w:rsidP="00E50797">
      <w:pPr>
        <w:spacing w:after="0" w:line="360" w:lineRule="auto"/>
        <w:ind w:firstLine="357"/>
        <w:jc w:val="both"/>
        <w:rPr>
          <w:rFonts w:ascii="Arial" w:eastAsia="Arial" w:hAnsi="Arial" w:cs="Arial"/>
          <w:bCs/>
          <w:sz w:val="24"/>
          <w:szCs w:val="24"/>
        </w:rPr>
      </w:pPr>
      <w:r w:rsidRPr="001101A7">
        <w:rPr>
          <w:rFonts w:ascii="Arial" w:eastAsia="Arial" w:hAnsi="Arial" w:cs="Arial"/>
          <w:bCs/>
          <w:sz w:val="24"/>
          <w:szCs w:val="24"/>
        </w:rPr>
        <w:t xml:space="preserve">No bioensaio com </w:t>
      </w:r>
      <w:r w:rsidRPr="00E50797">
        <w:rPr>
          <w:rFonts w:ascii="Arial" w:eastAsia="Arial" w:hAnsi="Arial" w:cs="Arial"/>
          <w:bCs/>
          <w:i/>
          <w:sz w:val="24"/>
          <w:szCs w:val="24"/>
        </w:rPr>
        <w:t>Allium cepa</w:t>
      </w:r>
      <w:r w:rsidRPr="001101A7">
        <w:rPr>
          <w:rFonts w:ascii="Arial" w:eastAsia="Arial" w:hAnsi="Arial" w:cs="Arial"/>
          <w:bCs/>
          <w:sz w:val="24"/>
          <w:szCs w:val="24"/>
        </w:rPr>
        <w:t>, bulbos uniformes foram higieni</w:t>
      </w:r>
      <w:r w:rsidR="00E50797">
        <w:rPr>
          <w:rFonts w:ascii="Arial" w:eastAsia="Arial" w:hAnsi="Arial" w:cs="Arial"/>
          <w:bCs/>
          <w:sz w:val="24"/>
          <w:szCs w:val="24"/>
        </w:rPr>
        <w:t>zados, imersos em água deionizada</w:t>
      </w:r>
      <w:r w:rsidRPr="001101A7">
        <w:rPr>
          <w:rFonts w:ascii="Arial" w:eastAsia="Arial" w:hAnsi="Arial" w:cs="Arial"/>
          <w:bCs/>
          <w:sz w:val="24"/>
          <w:szCs w:val="24"/>
        </w:rPr>
        <w:t xml:space="preserve"> até as raízes atingirem 0,5 cm, e divididos em quatro grupos: controle positivo, controle negativo e dois </w:t>
      </w:r>
      <w:r w:rsidR="00E50797">
        <w:rPr>
          <w:rFonts w:ascii="Arial" w:eastAsia="Arial" w:hAnsi="Arial" w:cs="Arial"/>
          <w:bCs/>
          <w:sz w:val="24"/>
          <w:szCs w:val="24"/>
        </w:rPr>
        <w:t xml:space="preserve">grupos </w:t>
      </w:r>
      <w:r w:rsidRPr="001101A7">
        <w:rPr>
          <w:rFonts w:ascii="Arial" w:eastAsia="Arial" w:hAnsi="Arial" w:cs="Arial"/>
          <w:bCs/>
          <w:sz w:val="24"/>
          <w:szCs w:val="24"/>
        </w:rPr>
        <w:t xml:space="preserve">expostos à água do Rio Lontra. Cinco bulbos foram expostos a 80 mL de amostras por 72 horas. No controle </w:t>
      </w:r>
      <w:r w:rsidR="00E50797">
        <w:rPr>
          <w:rFonts w:ascii="Arial" w:eastAsia="Arial" w:hAnsi="Arial" w:cs="Arial"/>
          <w:bCs/>
          <w:sz w:val="24"/>
          <w:szCs w:val="24"/>
        </w:rPr>
        <w:t>negativo, usou-se água mineral</w:t>
      </w:r>
      <w:r w:rsidRPr="001101A7">
        <w:rPr>
          <w:rFonts w:ascii="Arial" w:eastAsia="Arial" w:hAnsi="Arial" w:cs="Arial"/>
          <w:bCs/>
          <w:sz w:val="24"/>
          <w:szCs w:val="24"/>
        </w:rPr>
        <w:t>, e no positivo, sulfato de cobre (0,0006 mg/mL). As pontas das raízes foram cortadas, fixadas e armazenadas.</w:t>
      </w:r>
      <w:r w:rsidR="00E50797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1101A7">
        <w:rPr>
          <w:rFonts w:ascii="Arial" w:eastAsia="Arial" w:hAnsi="Arial" w:cs="Arial"/>
          <w:bCs/>
          <w:sz w:val="24"/>
          <w:szCs w:val="24"/>
        </w:rPr>
        <w:t>As lâminas foram preparadas com hidrólise em HCl 1N e coradas com orceína acética. Foram feitas 20 lâminas, resultando em 40 amostras, analisadas em triplicata com contagem de 1000 células por amostra. Calculou-se o Índice Mitótico (IM) e o Índice de Alterações Cromossômicas (IAC), avaliando a citotoxicidade e as alterações cromossômicas. A análise estatística utilizou o teste de Tukey-Kramer (P=0,05) para comparar os grupos e identificar diferenças significativas.</w:t>
      </w:r>
      <w:r w:rsidR="00BC26BB">
        <w:rPr>
          <w:rFonts w:ascii="Arial" w:eastAsia="Arial" w:hAnsi="Arial" w:cs="Arial"/>
          <w:bCs/>
          <w:sz w:val="24"/>
          <w:szCs w:val="24"/>
        </w:rPr>
        <w:t xml:space="preserve"> </w:t>
      </w:r>
    </w:p>
    <w:p w14:paraId="176F838D" w14:textId="6142F7C2" w:rsidR="00D54C96" w:rsidRDefault="00BC26BB" w:rsidP="00E50797">
      <w:pPr>
        <w:spacing w:after="0" w:line="360" w:lineRule="auto"/>
        <w:ind w:firstLine="357"/>
        <w:jc w:val="both"/>
        <w:rPr>
          <w:rFonts w:ascii="Arial" w:eastAsia="Arial" w:hAnsi="Arial" w:cs="Arial"/>
          <w:bCs/>
          <w:sz w:val="24"/>
          <w:szCs w:val="24"/>
        </w:rPr>
      </w:pPr>
      <w:r w:rsidRPr="00BC26BB">
        <w:rPr>
          <w:rFonts w:ascii="Arial" w:eastAsia="Arial" w:hAnsi="Arial" w:cs="Arial"/>
          <w:bCs/>
          <w:sz w:val="24"/>
          <w:szCs w:val="24"/>
        </w:rPr>
        <w:t>Localização dos pontos de coleta</w:t>
      </w:r>
      <w:r w:rsidR="00373666">
        <w:rPr>
          <w:rFonts w:ascii="Arial" w:eastAsia="Arial" w:hAnsi="Arial" w:cs="Arial"/>
          <w:bCs/>
          <w:sz w:val="24"/>
          <w:szCs w:val="24"/>
        </w:rPr>
        <w:t xml:space="preserve"> (Fig.01)</w:t>
      </w:r>
      <w:r w:rsidRPr="00BC26BB">
        <w:rPr>
          <w:rFonts w:ascii="Arial" w:eastAsia="Arial" w:hAnsi="Arial" w:cs="Arial"/>
          <w:bCs/>
          <w:sz w:val="24"/>
          <w:szCs w:val="24"/>
        </w:rPr>
        <w:t>.</w:t>
      </w:r>
    </w:p>
    <w:tbl>
      <w:tblPr>
        <w:tblStyle w:val="Tabelacomgrade"/>
        <w:tblW w:w="7933" w:type="dxa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3118"/>
      </w:tblGrid>
      <w:tr w:rsidR="00BC26BB" w14:paraId="6D5FA33D" w14:textId="77777777" w:rsidTr="00373666">
        <w:trPr>
          <w:trHeight w:val="275"/>
        </w:trPr>
        <w:tc>
          <w:tcPr>
            <w:tcW w:w="1838" w:type="dxa"/>
          </w:tcPr>
          <w:p w14:paraId="6F7E4C8E" w14:textId="77777777" w:rsidR="00BC26BB" w:rsidRPr="00373666" w:rsidRDefault="00BC26BB" w:rsidP="00BC26BB">
            <w:pPr>
              <w:jc w:val="center"/>
              <w:rPr>
                <w:rFonts w:ascii="Arial" w:hAnsi="Arial" w:cs="Arial"/>
                <w:b/>
              </w:rPr>
            </w:pPr>
            <w:r w:rsidRPr="00373666">
              <w:rPr>
                <w:rFonts w:ascii="Arial" w:hAnsi="Arial" w:cs="Arial"/>
                <w:b/>
              </w:rPr>
              <w:t>PONTO</w:t>
            </w:r>
          </w:p>
        </w:tc>
        <w:tc>
          <w:tcPr>
            <w:tcW w:w="2977" w:type="dxa"/>
          </w:tcPr>
          <w:p w14:paraId="5B4BE343" w14:textId="77777777" w:rsidR="00BC26BB" w:rsidRPr="00373666" w:rsidRDefault="00BC26BB" w:rsidP="00BC26BB">
            <w:pPr>
              <w:jc w:val="center"/>
              <w:rPr>
                <w:rFonts w:ascii="Arial" w:hAnsi="Arial" w:cs="Arial"/>
                <w:b/>
              </w:rPr>
            </w:pPr>
            <w:r w:rsidRPr="00373666">
              <w:rPr>
                <w:rFonts w:ascii="Arial" w:hAnsi="Arial" w:cs="Arial"/>
                <w:b/>
              </w:rPr>
              <w:t>COORDENADAS</w:t>
            </w:r>
          </w:p>
        </w:tc>
        <w:tc>
          <w:tcPr>
            <w:tcW w:w="3118" w:type="dxa"/>
          </w:tcPr>
          <w:p w14:paraId="095A6EF7" w14:textId="77777777" w:rsidR="00BC26BB" w:rsidRPr="00373666" w:rsidRDefault="00BC26BB" w:rsidP="00BC26BB">
            <w:pPr>
              <w:jc w:val="center"/>
              <w:rPr>
                <w:rFonts w:ascii="Arial" w:hAnsi="Arial" w:cs="Arial"/>
                <w:b/>
              </w:rPr>
            </w:pPr>
            <w:r w:rsidRPr="00373666">
              <w:rPr>
                <w:rFonts w:ascii="Arial" w:hAnsi="Arial" w:cs="Arial"/>
                <w:b/>
              </w:rPr>
              <w:t>LOCAL</w:t>
            </w:r>
          </w:p>
        </w:tc>
      </w:tr>
      <w:tr w:rsidR="00BC26BB" w14:paraId="1FF78FC9" w14:textId="77777777" w:rsidTr="00373666">
        <w:trPr>
          <w:trHeight w:val="275"/>
        </w:trPr>
        <w:tc>
          <w:tcPr>
            <w:tcW w:w="1838" w:type="dxa"/>
          </w:tcPr>
          <w:p w14:paraId="09064D21" w14:textId="77777777" w:rsidR="00BC26BB" w:rsidRPr="00373666" w:rsidRDefault="00BC26BB" w:rsidP="00BC26BB">
            <w:pPr>
              <w:jc w:val="center"/>
              <w:rPr>
                <w:rFonts w:ascii="Arial" w:hAnsi="Arial" w:cs="Arial"/>
                <w:b/>
              </w:rPr>
            </w:pPr>
            <w:r w:rsidRPr="00373666">
              <w:rPr>
                <w:rFonts w:ascii="Arial" w:hAnsi="Arial" w:cs="Arial"/>
                <w:b/>
              </w:rPr>
              <w:t>N.1</w:t>
            </w:r>
          </w:p>
        </w:tc>
        <w:tc>
          <w:tcPr>
            <w:tcW w:w="2977" w:type="dxa"/>
          </w:tcPr>
          <w:p w14:paraId="51C9A91A" w14:textId="77777777" w:rsidR="00BC26BB" w:rsidRPr="00373666" w:rsidRDefault="00BC26BB" w:rsidP="00BC26BB">
            <w:pPr>
              <w:jc w:val="center"/>
              <w:rPr>
                <w:rFonts w:ascii="Arial" w:hAnsi="Arial" w:cs="Arial"/>
              </w:rPr>
            </w:pPr>
            <w:r w:rsidRPr="00373666">
              <w:rPr>
                <w:rFonts w:ascii="Arial" w:hAnsi="Arial" w:cs="Arial"/>
              </w:rPr>
              <w:t>807082 mE 9201799 mS</w:t>
            </w:r>
          </w:p>
        </w:tc>
        <w:tc>
          <w:tcPr>
            <w:tcW w:w="3118" w:type="dxa"/>
          </w:tcPr>
          <w:p w14:paraId="40693A8A" w14:textId="77777777" w:rsidR="00BC26BB" w:rsidRPr="00373666" w:rsidRDefault="00BC26BB" w:rsidP="00BC26BB">
            <w:pPr>
              <w:jc w:val="center"/>
              <w:rPr>
                <w:rFonts w:ascii="Arial" w:hAnsi="Arial" w:cs="Arial"/>
                <w:b/>
              </w:rPr>
            </w:pPr>
            <w:r w:rsidRPr="00373666">
              <w:rPr>
                <w:rFonts w:ascii="Arial" w:hAnsi="Arial" w:cs="Arial"/>
                <w:b/>
              </w:rPr>
              <w:t>Prainha da Via Lago</w:t>
            </w:r>
          </w:p>
        </w:tc>
      </w:tr>
      <w:tr w:rsidR="00BC26BB" w14:paraId="669CA7AB" w14:textId="77777777" w:rsidTr="00373666">
        <w:trPr>
          <w:trHeight w:val="275"/>
        </w:trPr>
        <w:tc>
          <w:tcPr>
            <w:tcW w:w="1838" w:type="dxa"/>
          </w:tcPr>
          <w:p w14:paraId="7753C8B7" w14:textId="77777777" w:rsidR="00BC26BB" w:rsidRPr="00373666" w:rsidRDefault="00BC26BB" w:rsidP="00BC26BB">
            <w:pPr>
              <w:jc w:val="center"/>
              <w:rPr>
                <w:rFonts w:ascii="Arial" w:hAnsi="Arial" w:cs="Arial"/>
                <w:b/>
              </w:rPr>
            </w:pPr>
            <w:r w:rsidRPr="00373666">
              <w:rPr>
                <w:rFonts w:ascii="Arial" w:hAnsi="Arial" w:cs="Arial"/>
                <w:b/>
              </w:rPr>
              <w:t>N.2</w:t>
            </w:r>
          </w:p>
        </w:tc>
        <w:tc>
          <w:tcPr>
            <w:tcW w:w="2977" w:type="dxa"/>
          </w:tcPr>
          <w:p w14:paraId="6448053F" w14:textId="77777777" w:rsidR="00BC26BB" w:rsidRPr="00373666" w:rsidRDefault="00BC26BB" w:rsidP="00BC26BB">
            <w:pPr>
              <w:jc w:val="center"/>
              <w:rPr>
                <w:rFonts w:ascii="Arial" w:hAnsi="Arial" w:cs="Arial"/>
              </w:rPr>
            </w:pPr>
            <w:r w:rsidRPr="00373666">
              <w:rPr>
                <w:rFonts w:ascii="Arial" w:hAnsi="Arial" w:cs="Arial"/>
              </w:rPr>
              <w:t>806616 mE 9202243 mS</w:t>
            </w:r>
          </w:p>
        </w:tc>
        <w:tc>
          <w:tcPr>
            <w:tcW w:w="3118" w:type="dxa"/>
          </w:tcPr>
          <w:p w14:paraId="39FE29F6" w14:textId="77777777" w:rsidR="00BC26BB" w:rsidRPr="00373666" w:rsidRDefault="00BC26BB" w:rsidP="00BC26BB">
            <w:pPr>
              <w:jc w:val="center"/>
              <w:rPr>
                <w:rFonts w:ascii="Arial" w:hAnsi="Arial" w:cs="Arial"/>
                <w:b/>
              </w:rPr>
            </w:pPr>
            <w:r w:rsidRPr="00373666">
              <w:rPr>
                <w:rFonts w:ascii="Arial" w:hAnsi="Arial" w:cs="Arial"/>
                <w:b/>
              </w:rPr>
              <w:t>Foz do Neblina</w:t>
            </w:r>
          </w:p>
        </w:tc>
      </w:tr>
    </w:tbl>
    <w:p w14:paraId="2505776C" w14:textId="44BD7BAC" w:rsidR="00373666" w:rsidRDefault="00373666" w:rsidP="00AD01F7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005F50">
        <w:rPr>
          <w:noProof/>
        </w:rPr>
        <w:drawing>
          <wp:anchor distT="0" distB="0" distL="114300" distR="114300" simplePos="0" relativeHeight="251659264" behindDoc="1" locked="0" layoutInCell="1" allowOverlap="1" wp14:anchorId="439D4388" wp14:editId="78BBE1CF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446532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71" y="21491"/>
                <wp:lineTo x="21471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27933" w14:textId="4ECC488B" w:rsidR="00373666" w:rsidRDefault="00373666" w:rsidP="00E50797">
      <w:pPr>
        <w:spacing w:after="0" w:line="360" w:lineRule="auto"/>
        <w:ind w:firstLine="357"/>
        <w:jc w:val="both"/>
        <w:rPr>
          <w:rFonts w:ascii="Arial" w:eastAsia="Arial" w:hAnsi="Arial" w:cs="Arial"/>
          <w:bCs/>
          <w:sz w:val="24"/>
          <w:szCs w:val="24"/>
        </w:rPr>
      </w:pPr>
    </w:p>
    <w:p w14:paraId="0E07E579" w14:textId="77777777" w:rsidR="00373666" w:rsidRDefault="00373666" w:rsidP="00E50797">
      <w:pPr>
        <w:spacing w:after="0" w:line="360" w:lineRule="auto"/>
        <w:ind w:firstLine="357"/>
        <w:jc w:val="both"/>
        <w:rPr>
          <w:rFonts w:ascii="Arial" w:eastAsia="Arial" w:hAnsi="Arial" w:cs="Arial"/>
          <w:bCs/>
          <w:sz w:val="24"/>
          <w:szCs w:val="24"/>
        </w:rPr>
      </w:pPr>
    </w:p>
    <w:p w14:paraId="7EB9751E" w14:textId="77777777" w:rsidR="00373666" w:rsidRDefault="000A7B5B" w:rsidP="00E50797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C42011">
        <w:rPr>
          <w:rFonts w:ascii="Arial" w:hAnsi="Arial" w:cs="Arial"/>
          <w:sz w:val="24"/>
          <w:szCs w:val="24"/>
        </w:rPr>
        <w:tab/>
      </w:r>
    </w:p>
    <w:p w14:paraId="445C7CA1" w14:textId="77777777" w:rsidR="00373666" w:rsidRDefault="00373666" w:rsidP="00E50797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</w:p>
    <w:p w14:paraId="4ACB4DB8" w14:textId="77777777" w:rsidR="00373666" w:rsidRDefault="00373666" w:rsidP="00E50797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</w:p>
    <w:p w14:paraId="579634F6" w14:textId="77777777" w:rsidR="00373666" w:rsidRDefault="00373666" w:rsidP="00E50797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</w:p>
    <w:p w14:paraId="5EF9F363" w14:textId="77777777" w:rsidR="00373666" w:rsidRDefault="00373666" w:rsidP="00E50797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</w:p>
    <w:p w14:paraId="4A93B344" w14:textId="77777777" w:rsidR="00AD01F7" w:rsidRDefault="00AD01F7" w:rsidP="00373666">
      <w:pPr>
        <w:jc w:val="both"/>
        <w:rPr>
          <w:rFonts w:ascii="Arial" w:hAnsi="Arial" w:cs="Arial"/>
          <w:sz w:val="20"/>
          <w:szCs w:val="20"/>
        </w:rPr>
      </w:pPr>
    </w:p>
    <w:p w14:paraId="6409578E" w14:textId="79CF1CE6" w:rsidR="00373666" w:rsidRPr="00373666" w:rsidRDefault="00373666" w:rsidP="00373666">
      <w:pPr>
        <w:jc w:val="both"/>
        <w:rPr>
          <w:rFonts w:ascii="Arial" w:hAnsi="Arial" w:cs="Arial"/>
          <w:sz w:val="20"/>
          <w:szCs w:val="20"/>
        </w:rPr>
      </w:pPr>
      <w:r w:rsidRPr="00373666">
        <w:rPr>
          <w:rFonts w:ascii="Arial" w:hAnsi="Arial" w:cs="Arial"/>
          <w:sz w:val="20"/>
          <w:szCs w:val="20"/>
        </w:rPr>
        <w:t>Figura 1: Mapa dos locais de coleta n</w:t>
      </w:r>
      <w:r w:rsidR="00E233F8">
        <w:rPr>
          <w:rFonts w:ascii="Arial" w:hAnsi="Arial" w:cs="Arial"/>
          <w:sz w:val="20"/>
          <w:szCs w:val="20"/>
        </w:rPr>
        <w:t>o Lago Azul</w:t>
      </w:r>
      <w:r w:rsidRPr="00373666">
        <w:rPr>
          <w:rFonts w:ascii="Arial" w:hAnsi="Arial" w:cs="Arial"/>
          <w:sz w:val="20"/>
          <w:szCs w:val="20"/>
        </w:rPr>
        <w:t xml:space="preserve"> – rio Lontra</w:t>
      </w:r>
      <w:r>
        <w:rPr>
          <w:rFonts w:ascii="Arial" w:hAnsi="Arial" w:cs="Arial"/>
          <w:sz w:val="20"/>
          <w:szCs w:val="20"/>
        </w:rPr>
        <w:t>. Fonte: Google Maps.</w:t>
      </w:r>
    </w:p>
    <w:p w14:paraId="01D81640" w14:textId="042735EE" w:rsidR="00930701" w:rsidRDefault="00486485" w:rsidP="00E50797">
      <w:pPr>
        <w:spacing w:after="0" w:line="360" w:lineRule="auto"/>
        <w:ind w:firstLine="357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RESULTADOS E DISCUSSÃO</w:t>
      </w:r>
    </w:p>
    <w:p w14:paraId="124AD9EA" w14:textId="1FFD33FF" w:rsidR="00373666" w:rsidRPr="00D54C96" w:rsidRDefault="00373666" w:rsidP="00373666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D54C96">
        <w:rPr>
          <w:rFonts w:ascii="Arial" w:eastAsia="Arial" w:hAnsi="Arial" w:cs="Arial"/>
          <w:sz w:val="24"/>
          <w:szCs w:val="24"/>
        </w:rPr>
        <w:t>De acordo com a Resolução CONAMA nº 357/2005, os result</w:t>
      </w:r>
      <w:r>
        <w:rPr>
          <w:rFonts w:ascii="Arial" w:eastAsia="Arial" w:hAnsi="Arial" w:cs="Arial"/>
          <w:sz w:val="24"/>
          <w:szCs w:val="24"/>
        </w:rPr>
        <w:t>ados das análises físico-químico</w:t>
      </w:r>
      <w:r w:rsidRPr="00D54C96">
        <w:rPr>
          <w:rFonts w:ascii="Arial" w:eastAsia="Arial" w:hAnsi="Arial" w:cs="Arial"/>
          <w:sz w:val="24"/>
          <w:szCs w:val="24"/>
        </w:rPr>
        <w:t>s estão em conformidade, exceto pelo pH abaixo do recomendado no ponto denominado "praia da via lago", enquanto os demais parâmetros estão dentro dos limites aceitáveis</w:t>
      </w:r>
      <w:r>
        <w:rPr>
          <w:rFonts w:ascii="Arial" w:eastAsia="Arial" w:hAnsi="Arial" w:cs="Arial"/>
          <w:sz w:val="24"/>
          <w:szCs w:val="24"/>
        </w:rPr>
        <w:t xml:space="preserve"> (Tabela 1)</w:t>
      </w:r>
      <w:r w:rsidRPr="00D54C96">
        <w:rPr>
          <w:rFonts w:ascii="Arial" w:eastAsia="Arial" w:hAnsi="Arial" w:cs="Arial"/>
          <w:sz w:val="24"/>
          <w:szCs w:val="24"/>
        </w:rPr>
        <w:t>. O monitoramento de corpos hídricos é essencial para mitigar impactos e prevenir doenças hídricas na população que utiliza esses recursos para lazer ou subsistência.</w:t>
      </w:r>
    </w:p>
    <w:p w14:paraId="4F5BEA5B" w14:textId="224FA5A6" w:rsidR="00BC26BB" w:rsidRDefault="00373666" w:rsidP="00E50797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Tabela 1</w:t>
      </w:r>
      <w:r w:rsidRPr="00373666">
        <w:rPr>
          <w:rFonts w:ascii="Arial" w:eastAsia="Arial" w:hAnsi="Arial" w:cs="Arial"/>
          <w:sz w:val="24"/>
          <w:szCs w:val="24"/>
        </w:rPr>
        <w:t xml:space="preserve"> apresenta os resultados obtidos para a caracterização físico-química da água em dois períodos. (OD=oxigênio, TDS = sólidos totais)</w:t>
      </w:r>
      <w:r>
        <w:rPr>
          <w:rFonts w:ascii="Arial" w:eastAsia="Arial" w:hAnsi="Arial" w:cs="Arial"/>
          <w:sz w:val="24"/>
          <w:szCs w:val="24"/>
        </w:rPr>
        <w:t>.</w:t>
      </w: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851"/>
        <w:gridCol w:w="850"/>
        <w:gridCol w:w="851"/>
        <w:gridCol w:w="1559"/>
        <w:gridCol w:w="1134"/>
        <w:gridCol w:w="992"/>
      </w:tblGrid>
      <w:tr w:rsidR="00373666" w14:paraId="5D1519B4" w14:textId="77777777" w:rsidTr="00AD01F7">
        <w:trPr>
          <w:trHeight w:val="551"/>
        </w:trPr>
        <w:tc>
          <w:tcPr>
            <w:tcW w:w="1838" w:type="dxa"/>
          </w:tcPr>
          <w:p w14:paraId="184E5048" w14:textId="77777777" w:rsidR="00373666" w:rsidRPr="00A27A7A" w:rsidRDefault="00373666" w:rsidP="00373666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A27A7A">
              <w:rPr>
                <w:b/>
              </w:rPr>
              <w:t>onto</w:t>
            </w:r>
          </w:p>
        </w:tc>
        <w:tc>
          <w:tcPr>
            <w:tcW w:w="1559" w:type="dxa"/>
          </w:tcPr>
          <w:p w14:paraId="0F6AA6F6" w14:textId="77777777" w:rsidR="00373666" w:rsidRPr="00A27A7A" w:rsidRDefault="00373666" w:rsidP="0037366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  <w:r w:rsidRPr="00A27A7A">
              <w:rPr>
                <w:b/>
              </w:rPr>
              <w:t>emperatura</w:t>
            </w:r>
          </w:p>
        </w:tc>
        <w:tc>
          <w:tcPr>
            <w:tcW w:w="851" w:type="dxa"/>
            <w:vAlign w:val="center"/>
          </w:tcPr>
          <w:p w14:paraId="0993E5D1" w14:textId="77777777" w:rsidR="00373666" w:rsidRPr="00624FA7" w:rsidRDefault="00373666" w:rsidP="00373666">
            <w:pPr>
              <w:jc w:val="center"/>
            </w:pPr>
            <w:r w:rsidRPr="00624FA7">
              <w:rPr>
                <w:b/>
                <w:bCs/>
                <w:color w:val="000000"/>
              </w:rPr>
              <w:t xml:space="preserve">pH </w:t>
            </w:r>
            <w:r w:rsidRPr="00624FA7">
              <w:rPr>
                <w:b/>
                <w:bCs/>
                <w:color w:val="000000"/>
              </w:rPr>
              <w:br/>
              <w:t>6-9</w:t>
            </w:r>
          </w:p>
        </w:tc>
        <w:tc>
          <w:tcPr>
            <w:tcW w:w="850" w:type="dxa"/>
            <w:vAlign w:val="center"/>
          </w:tcPr>
          <w:p w14:paraId="09E42A1E" w14:textId="77777777" w:rsidR="00373666" w:rsidRPr="00624FA7" w:rsidRDefault="00373666" w:rsidP="00373666">
            <w:pPr>
              <w:jc w:val="center"/>
            </w:pPr>
            <w:r w:rsidRPr="00624FA7">
              <w:rPr>
                <w:b/>
                <w:bCs/>
                <w:color w:val="000000"/>
              </w:rPr>
              <w:t>OD</w:t>
            </w:r>
            <w:r w:rsidRPr="00624FA7">
              <w:rPr>
                <w:b/>
                <w:bCs/>
                <w:color w:val="000000"/>
              </w:rPr>
              <w:br/>
              <w:t>&gt;5</w:t>
            </w:r>
          </w:p>
        </w:tc>
        <w:tc>
          <w:tcPr>
            <w:tcW w:w="851" w:type="dxa"/>
            <w:vAlign w:val="center"/>
          </w:tcPr>
          <w:p w14:paraId="1130744D" w14:textId="77777777" w:rsidR="00373666" w:rsidRPr="00624FA7" w:rsidRDefault="00373666" w:rsidP="00373666">
            <w:pPr>
              <w:jc w:val="center"/>
            </w:pPr>
            <w:r w:rsidRPr="00624FA7">
              <w:rPr>
                <w:b/>
                <w:bCs/>
                <w:color w:val="000000"/>
              </w:rPr>
              <w:t>TDS</w:t>
            </w:r>
            <w:r w:rsidRPr="00624FA7">
              <w:rPr>
                <w:b/>
                <w:bCs/>
                <w:color w:val="000000"/>
              </w:rPr>
              <w:br/>
              <w:t>até 500</w:t>
            </w:r>
          </w:p>
        </w:tc>
        <w:tc>
          <w:tcPr>
            <w:tcW w:w="1559" w:type="dxa"/>
            <w:vAlign w:val="center"/>
          </w:tcPr>
          <w:p w14:paraId="0AEA78AE" w14:textId="77777777" w:rsidR="00373666" w:rsidRPr="00624FA7" w:rsidRDefault="00373666" w:rsidP="00373666">
            <w:pPr>
              <w:jc w:val="center"/>
            </w:pPr>
            <w:r w:rsidRPr="00624FA7">
              <w:rPr>
                <w:b/>
                <w:bCs/>
              </w:rPr>
              <w:t>Condutividade</w:t>
            </w:r>
          </w:p>
        </w:tc>
        <w:tc>
          <w:tcPr>
            <w:tcW w:w="1134" w:type="dxa"/>
            <w:vAlign w:val="center"/>
          </w:tcPr>
          <w:p w14:paraId="6024625B" w14:textId="77777777" w:rsidR="00373666" w:rsidRPr="00624FA7" w:rsidRDefault="00373666" w:rsidP="00373666">
            <w:pPr>
              <w:jc w:val="center"/>
            </w:pPr>
            <w:r w:rsidRPr="00624FA7">
              <w:rPr>
                <w:b/>
                <w:bCs/>
                <w:color w:val="000000"/>
              </w:rPr>
              <w:t xml:space="preserve">Turbidez </w:t>
            </w:r>
            <w:r w:rsidRPr="00624FA7">
              <w:rPr>
                <w:b/>
                <w:bCs/>
                <w:color w:val="000000"/>
              </w:rPr>
              <w:br/>
              <w:t>até 100</w:t>
            </w:r>
          </w:p>
        </w:tc>
        <w:tc>
          <w:tcPr>
            <w:tcW w:w="992" w:type="dxa"/>
          </w:tcPr>
          <w:p w14:paraId="6EDE3145" w14:textId="0434DCC3" w:rsidR="00373666" w:rsidRPr="00624FA7" w:rsidRDefault="00373666" w:rsidP="00373666">
            <w:pPr>
              <w:jc w:val="center"/>
              <w:rPr>
                <w:b/>
              </w:rPr>
            </w:pPr>
            <w:r>
              <w:rPr>
                <w:b/>
              </w:rPr>
              <w:t xml:space="preserve">Data </w:t>
            </w:r>
          </w:p>
        </w:tc>
      </w:tr>
      <w:tr w:rsidR="00373666" w14:paraId="3F5B2EEE" w14:textId="77777777" w:rsidTr="00AD01F7">
        <w:tc>
          <w:tcPr>
            <w:tcW w:w="1838" w:type="dxa"/>
          </w:tcPr>
          <w:p w14:paraId="0D87EF20" w14:textId="672B0D69" w:rsidR="00373666" w:rsidRPr="00624FA7" w:rsidRDefault="00AD01F7" w:rsidP="00373666">
            <w:pPr>
              <w:jc w:val="center"/>
              <w:rPr>
                <w:b/>
              </w:rPr>
            </w:pPr>
            <w:r>
              <w:rPr>
                <w:b/>
              </w:rPr>
              <w:t xml:space="preserve">Foz </w:t>
            </w:r>
            <w:r w:rsidR="00373666" w:rsidRPr="00624FA7">
              <w:rPr>
                <w:b/>
              </w:rPr>
              <w:t xml:space="preserve"> Neblina</w:t>
            </w:r>
          </w:p>
        </w:tc>
        <w:tc>
          <w:tcPr>
            <w:tcW w:w="1559" w:type="dxa"/>
            <w:vAlign w:val="center"/>
          </w:tcPr>
          <w:p w14:paraId="32ED6535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30,30</w:t>
            </w:r>
          </w:p>
        </w:tc>
        <w:tc>
          <w:tcPr>
            <w:tcW w:w="851" w:type="dxa"/>
            <w:vAlign w:val="center"/>
          </w:tcPr>
          <w:p w14:paraId="58508023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6,28</w:t>
            </w:r>
          </w:p>
        </w:tc>
        <w:tc>
          <w:tcPr>
            <w:tcW w:w="850" w:type="dxa"/>
            <w:vAlign w:val="center"/>
          </w:tcPr>
          <w:p w14:paraId="2350AF69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20,40</w:t>
            </w:r>
          </w:p>
        </w:tc>
        <w:tc>
          <w:tcPr>
            <w:tcW w:w="851" w:type="dxa"/>
            <w:vAlign w:val="center"/>
          </w:tcPr>
          <w:p w14:paraId="696609D0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34,00</w:t>
            </w:r>
          </w:p>
        </w:tc>
        <w:tc>
          <w:tcPr>
            <w:tcW w:w="1559" w:type="dxa"/>
            <w:vAlign w:val="center"/>
          </w:tcPr>
          <w:p w14:paraId="0A935306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100,00</w:t>
            </w:r>
          </w:p>
        </w:tc>
        <w:tc>
          <w:tcPr>
            <w:tcW w:w="1134" w:type="dxa"/>
            <w:vAlign w:val="center"/>
          </w:tcPr>
          <w:p w14:paraId="50E4B437" w14:textId="77777777" w:rsidR="00373666" w:rsidRPr="00624FA7" w:rsidRDefault="00373666" w:rsidP="00373666">
            <w:pPr>
              <w:jc w:val="center"/>
            </w:pPr>
            <w:r>
              <w:rPr>
                <w:color w:val="000000"/>
              </w:rPr>
              <w:t>40,0</w:t>
            </w:r>
          </w:p>
        </w:tc>
        <w:tc>
          <w:tcPr>
            <w:tcW w:w="992" w:type="dxa"/>
          </w:tcPr>
          <w:p w14:paraId="70E2942B" w14:textId="77777777" w:rsidR="00373666" w:rsidRPr="00624FA7" w:rsidRDefault="00373666" w:rsidP="00373666">
            <w:pPr>
              <w:jc w:val="center"/>
            </w:pPr>
            <w:r>
              <w:t>03/2024</w:t>
            </w:r>
          </w:p>
        </w:tc>
      </w:tr>
      <w:tr w:rsidR="00373666" w14:paraId="244D4EC4" w14:textId="77777777" w:rsidTr="00AD01F7">
        <w:tc>
          <w:tcPr>
            <w:tcW w:w="1838" w:type="dxa"/>
          </w:tcPr>
          <w:p w14:paraId="28243D4D" w14:textId="73E0C409" w:rsidR="00373666" w:rsidRPr="00624FA7" w:rsidRDefault="00AD01F7" w:rsidP="00373666">
            <w:pPr>
              <w:jc w:val="center"/>
            </w:pPr>
            <w:r>
              <w:rPr>
                <w:b/>
                <w:bCs/>
                <w:color w:val="000000"/>
              </w:rPr>
              <w:t xml:space="preserve">Prainha </w:t>
            </w:r>
            <w:r w:rsidR="00373666" w:rsidRPr="00624FA7">
              <w:rPr>
                <w:b/>
                <w:bCs/>
                <w:color w:val="000000"/>
              </w:rPr>
              <w:t xml:space="preserve"> Via Lago</w:t>
            </w:r>
          </w:p>
        </w:tc>
        <w:tc>
          <w:tcPr>
            <w:tcW w:w="1559" w:type="dxa"/>
            <w:vAlign w:val="center"/>
          </w:tcPr>
          <w:p w14:paraId="1150687A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29,20</w:t>
            </w:r>
          </w:p>
        </w:tc>
        <w:tc>
          <w:tcPr>
            <w:tcW w:w="851" w:type="dxa"/>
            <w:vAlign w:val="center"/>
          </w:tcPr>
          <w:p w14:paraId="54C4B7F5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4,70</w:t>
            </w:r>
          </w:p>
        </w:tc>
        <w:tc>
          <w:tcPr>
            <w:tcW w:w="850" w:type="dxa"/>
            <w:vAlign w:val="center"/>
          </w:tcPr>
          <w:p w14:paraId="19D20F38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38,00</w:t>
            </w:r>
          </w:p>
        </w:tc>
        <w:tc>
          <w:tcPr>
            <w:tcW w:w="851" w:type="dxa"/>
            <w:vAlign w:val="center"/>
          </w:tcPr>
          <w:p w14:paraId="2A9E8953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11,00</w:t>
            </w:r>
          </w:p>
        </w:tc>
        <w:tc>
          <w:tcPr>
            <w:tcW w:w="1559" w:type="dxa"/>
            <w:vAlign w:val="center"/>
          </w:tcPr>
          <w:p w14:paraId="1F06EE8D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23,00</w:t>
            </w:r>
          </w:p>
        </w:tc>
        <w:tc>
          <w:tcPr>
            <w:tcW w:w="1134" w:type="dxa"/>
            <w:vAlign w:val="center"/>
          </w:tcPr>
          <w:p w14:paraId="67FA4FF1" w14:textId="77777777" w:rsidR="00373666" w:rsidRPr="00624FA7" w:rsidRDefault="00373666" w:rsidP="00373666">
            <w:pPr>
              <w:jc w:val="center"/>
            </w:pPr>
            <w:r>
              <w:rPr>
                <w:color w:val="000000"/>
              </w:rPr>
              <w:t>25,9</w:t>
            </w:r>
          </w:p>
        </w:tc>
        <w:tc>
          <w:tcPr>
            <w:tcW w:w="992" w:type="dxa"/>
          </w:tcPr>
          <w:p w14:paraId="08D9BDA6" w14:textId="77777777" w:rsidR="00373666" w:rsidRPr="00624FA7" w:rsidRDefault="00373666" w:rsidP="00373666">
            <w:pPr>
              <w:jc w:val="center"/>
            </w:pPr>
            <w:r>
              <w:t>03/2024</w:t>
            </w:r>
          </w:p>
        </w:tc>
      </w:tr>
      <w:tr w:rsidR="00373666" w14:paraId="23344BCD" w14:textId="77777777" w:rsidTr="00AD01F7">
        <w:tc>
          <w:tcPr>
            <w:tcW w:w="1838" w:type="dxa"/>
            <w:vAlign w:val="bottom"/>
          </w:tcPr>
          <w:p w14:paraId="44D3774A" w14:textId="644BD4EC" w:rsidR="00373666" w:rsidRPr="005F5119" w:rsidRDefault="00AD01F7" w:rsidP="0037366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Foz </w:t>
            </w:r>
            <w:r w:rsidR="00373666" w:rsidRPr="005F5119">
              <w:rPr>
                <w:b/>
                <w:color w:val="000000"/>
              </w:rPr>
              <w:t xml:space="preserve"> Neblina</w:t>
            </w:r>
          </w:p>
        </w:tc>
        <w:tc>
          <w:tcPr>
            <w:tcW w:w="1559" w:type="dxa"/>
            <w:vAlign w:val="bottom"/>
          </w:tcPr>
          <w:p w14:paraId="7F9433A9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26</w:t>
            </w:r>
          </w:p>
        </w:tc>
        <w:tc>
          <w:tcPr>
            <w:tcW w:w="851" w:type="dxa"/>
            <w:vAlign w:val="bottom"/>
          </w:tcPr>
          <w:p w14:paraId="738EDC2B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6.3</w:t>
            </w:r>
          </w:p>
        </w:tc>
        <w:tc>
          <w:tcPr>
            <w:tcW w:w="850" w:type="dxa"/>
            <w:vAlign w:val="bottom"/>
          </w:tcPr>
          <w:p w14:paraId="4AA14E8A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30</w:t>
            </w:r>
          </w:p>
        </w:tc>
        <w:tc>
          <w:tcPr>
            <w:tcW w:w="851" w:type="dxa"/>
            <w:vAlign w:val="bottom"/>
          </w:tcPr>
          <w:p w14:paraId="294ED3C9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27</w:t>
            </w:r>
          </w:p>
        </w:tc>
        <w:tc>
          <w:tcPr>
            <w:tcW w:w="1559" w:type="dxa"/>
            <w:vAlign w:val="bottom"/>
          </w:tcPr>
          <w:p w14:paraId="501F7CB7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47</w:t>
            </w:r>
          </w:p>
        </w:tc>
        <w:tc>
          <w:tcPr>
            <w:tcW w:w="1134" w:type="dxa"/>
          </w:tcPr>
          <w:p w14:paraId="6300693F" w14:textId="77777777" w:rsidR="00373666" w:rsidRPr="00624FA7" w:rsidRDefault="00373666" w:rsidP="00373666">
            <w:pPr>
              <w:jc w:val="center"/>
            </w:pPr>
            <w:r>
              <w:t>30</w:t>
            </w:r>
          </w:p>
        </w:tc>
        <w:tc>
          <w:tcPr>
            <w:tcW w:w="992" w:type="dxa"/>
          </w:tcPr>
          <w:p w14:paraId="21D27DE4" w14:textId="1E208263" w:rsidR="00373666" w:rsidRPr="00624FA7" w:rsidRDefault="00195B12" w:rsidP="00373666">
            <w:pPr>
              <w:jc w:val="center"/>
            </w:pPr>
            <w:r>
              <w:t>10/2023</w:t>
            </w:r>
          </w:p>
        </w:tc>
      </w:tr>
      <w:tr w:rsidR="00373666" w14:paraId="39596249" w14:textId="77777777" w:rsidTr="00AD01F7">
        <w:tc>
          <w:tcPr>
            <w:tcW w:w="1838" w:type="dxa"/>
            <w:vAlign w:val="bottom"/>
          </w:tcPr>
          <w:p w14:paraId="284CC540" w14:textId="7C7EFABC" w:rsidR="00373666" w:rsidRPr="005F5119" w:rsidRDefault="00AD01F7" w:rsidP="00373666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Prainha </w:t>
            </w:r>
            <w:r w:rsidR="00373666" w:rsidRPr="005F5119">
              <w:rPr>
                <w:b/>
                <w:color w:val="000000"/>
              </w:rPr>
              <w:t xml:space="preserve"> Via Lago</w:t>
            </w:r>
          </w:p>
        </w:tc>
        <w:tc>
          <w:tcPr>
            <w:tcW w:w="1559" w:type="dxa"/>
            <w:vAlign w:val="bottom"/>
          </w:tcPr>
          <w:p w14:paraId="2437F08F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21</w:t>
            </w:r>
          </w:p>
        </w:tc>
        <w:tc>
          <w:tcPr>
            <w:tcW w:w="851" w:type="dxa"/>
            <w:vAlign w:val="bottom"/>
          </w:tcPr>
          <w:p w14:paraId="11145C4B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6.7</w:t>
            </w:r>
          </w:p>
        </w:tc>
        <w:tc>
          <w:tcPr>
            <w:tcW w:w="850" w:type="dxa"/>
            <w:vAlign w:val="bottom"/>
          </w:tcPr>
          <w:p w14:paraId="55256184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30</w:t>
            </w:r>
          </w:p>
        </w:tc>
        <w:tc>
          <w:tcPr>
            <w:tcW w:w="851" w:type="dxa"/>
            <w:vAlign w:val="bottom"/>
          </w:tcPr>
          <w:p w14:paraId="161AEE9B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7</w:t>
            </w:r>
          </w:p>
        </w:tc>
        <w:tc>
          <w:tcPr>
            <w:tcW w:w="1559" w:type="dxa"/>
            <w:vAlign w:val="bottom"/>
          </w:tcPr>
          <w:p w14:paraId="22406822" w14:textId="77777777" w:rsidR="00373666" w:rsidRPr="00624FA7" w:rsidRDefault="00373666" w:rsidP="00373666">
            <w:pPr>
              <w:jc w:val="center"/>
            </w:pPr>
            <w:r w:rsidRPr="00624FA7">
              <w:rPr>
                <w:color w:val="000000"/>
              </w:rPr>
              <w:t>13</w:t>
            </w:r>
          </w:p>
        </w:tc>
        <w:tc>
          <w:tcPr>
            <w:tcW w:w="1134" w:type="dxa"/>
          </w:tcPr>
          <w:p w14:paraId="1BE7A031" w14:textId="77777777" w:rsidR="00373666" w:rsidRPr="00624FA7" w:rsidRDefault="00373666" w:rsidP="00373666">
            <w:pPr>
              <w:jc w:val="center"/>
            </w:pPr>
            <w:r>
              <w:t>12</w:t>
            </w:r>
          </w:p>
        </w:tc>
        <w:tc>
          <w:tcPr>
            <w:tcW w:w="992" w:type="dxa"/>
          </w:tcPr>
          <w:p w14:paraId="1FF9485A" w14:textId="08F13640" w:rsidR="00373666" w:rsidRPr="00624FA7" w:rsidRDefault="00195B12" w:rsidP="00373666">
            <w:pPr>
              <w:jc w:val="center"/>
            </w:pPr>
            <w:r>
              <w:t>10/2023</w:t>
            </w:r>
          </w:p>
        </w:tc>
      </w:tr>
    </w:tbl>
    <w:p w14:paraId="6EFBD2DE" w14:textId="77777777" w:rsidR="00373666" w:rsidRPr="00373666" w:rsidRDefault="00373666" w:rsidP="00E50797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</w:p>
    <w:p w14:paraId="716E3306" w14:textId="4437A5AB" w:rsidR="00AA5487" w:rsidRDefault="00D54C96" w:rsidP="00FE73E3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D54C96">
        <w:rPr>
          <w:rFonts w:ascii="Arial" w:eastAsia="Arial" w:hAnsi="Arial" w:cs="Arial"/>
          <w:sz w:val="24"/>
          <w:szCs w:val="24"/>
        </w:rPr>
        <w:t>A investigação das amostras do</w:t>
      </w:r>
      <w:r w:rsidR="00FE73E3">
        <w:rPr>
          <w:rFonts w:ascii="Arial" w:eastAsia="Arial" w:hAnsi="Arial" w:cs="Arial"/>
          <w:sz w:val="24"/>
          <w:szCs w:val="24"/>
        </w:rPr>
        <w:t xml:space="preserve"> Lago Azul/</w:t>
      </w:r>
      <w:r w:rsidRPr="00D54C96">
        <w:rPr>
          <w:rFonts w:ascii="Arial" w:eastAsia="Arial" w:hAnsi="Arial" w:cs="Arial"/>
          <w:sz w:val="24"/>
          <w:szCs w:val="24"/>
        </w:rPr>
        <w:t xml:space="preserve"> Rio Lontra revelou diferenças celulares significativas entre os pontos de coleta, evidenciadas nos Índices Mitótico (IM) e de Anormalidade Celular (AC). A análise estatística, realizada com o teste de Tukey-Kramer (P=0,05) no programa Prisma, indicou que o ponto "Foz do Neblina", que recebe água do córrego Neblina, apresentou um alto Índice de Anormalidade Celular comparado ao controle. Esse aumento no AC foi relacionado a aberrações cromossômicas, como </w:t>
      </w:r>
      <w:r w:rsidRPr="00A821D8">
        <w:rPr>
          <w:rFonts w:ascii="Arial" w:eastAsia="Arial" w:hAnsi="Arial" w:cs="Arial"/>
          <w:i/>
          <w:sz w:val="24"/>
          <w:szCs w:val="24"/>
        </w:rPr>
        <w:t>stathmo-anáfase</w:t>
      </w:r>
      <w:r w:rsidRPr="00D54C96">
        <w:rPr>
          <w:rFonts w:ascii="Arial" w:eastAsia="Arial" w:hAnsi="Arial" w:cs="Arial"/>
          <w:sz w:val="24"/>
          <w:szCs w:val="24"/>
        </w:rPr>
        <w:t xml:space="preserve"> e </w:t>
      </w:r>
      <w:r w:rsidRPr="00A821D8">
        <w:rPr>
          <w:rFonts w:ascii="Arial" w:eastAsia="Arial" w:hAnsi="Arial" w:cs="Arial"/>
          <w:i/>
          <w:sz w:val="24"/>
          <w:szCs w:val="24"/>
        </w:rPr>
        <w:t>pontes anafásicas</w:t>
      </w:r>
      <w:r w:rsidRPr="00D54C96">
        <w:rPr>
          <w:rFonts w:ascii="Arial" w:eastAsia="Arial" w:hAnsi="Arial" w:cs="Arial"/>
          <w:sz w:val="24"/>
          <w:szCs w:val="24"/>
        </w:rPr>
        <w:t>, sugerindo a presença de agentes tóxicos na água que estão danificando o DNA e prejudicando a divisão celular</w:t>
      </w:r>
      <w:r w:rsidR="00AD01F7">
        <w:rPr>
          <w:rFonts w:ascii="Arial" w:eastAsia="Arial" w:hAnsi="Arial" w:cs="Arial"/>
          <w:sz w:val="24"/>
          <w:szCs w:val="24"/>
        </w:rPr>
        <w:t xml:space="preserve"> (Tabela 2)</w:t>
      </w:r>
      <w:r w:rsidRPr="00D54C96">
        <w:rPr>
          <w:rFonts w:ascii="Arial" w:eastAsia="Arial" w:hAnsi="Arial" w:cs="Arial"/>
          <w:sz w:val="24"/>
          <w:szCs w:val="24"/>
        </w:rPr>
        <w:t>.</w:t>
      </w:r>
      <w:r w:rsidR="00FE73E3">
        <w:rPr>
          <w:rFonts w:ascii="Arial" w:eastAsia="Arial" w:hAnsi="Arial" w:cs="Arial"/>
          <w:sz w:val="24"/>
          <w:szCs w:val="24"/>
        </w:rPr>
        <w:t xml:space="preserve"> O</w:t>
      </w:r>
      <w:r w:rsidRPr="00D54C96">
        <w:rPr>
          <w:rFonts w:ascii="Arial" w:eastAsia="Arial" w:hAnsi="Arial" w:cs="Arial"/>
          <w:sz w:val="24"/>
          <w:szCs w:val="24"/>
        </w:rPr>
        <w:t xml:space="preserve"> Índice Mitótico no ponto </w:t>
      </w:r>
      <w:r w:rsidR="00A821D8" w:rsidRPr="00D54C96">
        <w:rPr>
          <w:rFonts w:ascii="Arial" w:eastAsia="Arial" w:hAnsi="Arial" w:cs="Arial"/>
          <w:sz w:val="24"/>
          <w:szCs w:val="24"/>
        </w:rPr>
        <w:t>"Foz do Neblina"</w:t>
      </w:r>
      <w:r w:rsidR="00A821D8">
        <w:rPr>
          <w:rFonts w:ascii="Arial" w:eastAsia="Arial" w:hAnsi="Arial" w:cs="Arial"/>
          <w:sz w:val="24"/>
          <w:szCs w:val="24"/>
        </w:rPr>
        <w:t xml:space="preserve"> </w:t>
      </w:r>
      <w:r w:rsidRPr="00D54C96">
        <w:rPr>
          <w:rFonts w:ascii="Arial" w:eastAsia="Arial" w:hAnsi="Arial" w:cs="Arial"/>
          <w:sz w:val="24"/>
          <w:szCs w:val="24"/>
        </w:rPr>
        <w:t>foi significativamente menor que o controle, indicando uma redução na atividade mitótica e possíveis impactos na fisiologia celular. Em contraste, o ponto "Prainha da Via Lago" não apresentou diferenças significativas em relação ao controle para os dois índices, sugerindo que as condições ambientais</w:t>
      </w:r>
      <w:r w:rsidR="002473A4">
        <w:rPr>
          <w:rFonts w:ascii="Arial" w:eastAsia="Arial" w:hAnsi="Arial" w:cs="Arial"/>
          <w:sz w:val="24"/>
          <w:szCs w:val="24"/>
        </w:rPr>
        <w:t xml:space="preserve"> </w:t>
      </w:r>
      <w:r w:rsidRPr="00D54C96">
        <w:rPr>
          <w:rFonts w:ascii="Arial" w:eastAsia="Arial" w:hAnsi="Arial" w:cs="Arial"/>
          <w:sz w:val="24"/>
          <w:szCs w:val="24"/>
        </w:rPr>
        <w:t xml:space="preserve">mais estáveis e menos influenciadas por poluentes. </w:t>
      </w:r>
    </w:p>
    <w:p w14:paraId="3E325A7E" w14:textId="2555AD38" w:rsidR="00150DAD" w:rsidRDefault="00150DAD" w:rsidP="00150DAD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Tabela  2 demonstra as medias do IM e </w:t>
      </w:r>
      <w:r w:rsidRPr="00150DAD">
        <w:rPr>
          <w:rFonts w:ascii="Arial" w:eastAsia="Arial" w:hAnsi="Arial" w:cs="Arial"/>
          <w:sz w:val="24"/>
          <w:szCs w:val="24"/>
        </w:rPr>
        <w:t xml:space="preserve">AC </w:t>
      </w:r>
      <w:r w:rsidRPr="00150DAD">
        <w:rPr>
          <w:rFonts w:ascii="Arial" w:hAnsi="Arial" w:cs="Arial"/>
          <w:sz w:val="24"/>
          <w:szCs w:val="24"/>
        </w:rPr>
        <w:t>em cada um dos tratamentos.</w:t>
      </w:r>
    </w:p>
    <w:tbl>
      <w:tblPr>
        <w:tblStyle w:val="TabeladeGrade4-nfase1"/>
        <w:tblpPr w:leftFromText="141" w:rightFromText="141" w:vertAnchor="page" w:horzAnchor="margin" w:tblpXSpec="center" w:tblpY="2929"/>
        <w:tblW w:w="6799" w:type="dxa"/>
        <w:tblLayout w:type="fixed"/>
        <w:tblLook w:val="04A0" w:firstRow="1" w:lastRow="0" w:firstColumn="1" w:lastColumn="0" w:noHBand="0" w:noVBand="1"/>
      </w:tblPr>
      <w:tblGrid>
        <w:gridCol w:w="2689"/>
        <w:gridCol w:w="1842"/>
        <w:gridCol w:w="2268"/>
      </w:tblGrid>
      <w:tr w:rsidR="00E233F8" w14:paraId="08E1AABB" w14:textId="77777777" w:rsidTr="00E233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D11AD3F" w14:textId="77777777" w:rsidR="00E233F8" w:rsidRDefault="00E233F8" w:rsidP="00E233F8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Grupo</w:t>
            </w:r>
          </w:p>
        </w:tc>
        <w:tc>
          <w:tcPr>
            <w:tcW w:w="1842" w:type="dxa"/>
          </w:tcPr>
          <w:p w14:paraId="3A302A05" w14:textId="77777777" w:rsidR="00E233F8" w:rsidRDefault="00E233F8" w:rsidP="00E233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Media do IM</w:t>
            </w:r>
          </w:p>
        </w:tc>
        <w:tc>
          <w:tcPr>
            <w:tcW w:w="2268" w:type="dxa"/>
          </w:tcPr>
          <w:p w14:paraId="64C8DD60" w14:textId="77777777" w:rsidR="00E233F8" w:rsidRDefault="00E233F8" w:rsidP="00E233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Media AC</w:t>
            </w:r>
          </w:p>
        </w:tc>
      </w:tr>
      <w:tr w:rsidR="00E233F8" w14:paraId="21FEB289" w14:textId="77777777" w:rsidTr="00E233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45F8F44" w14:textId="77777777" w:rsidR="00E233F8" w:rsidRDefault="00E233F8" w:rsidP="00E233F8">
            <w:pPr>
              <w:jc w:val="center"/>
              <w:rPr>
                <w:rFonts w:eastAsia="Arial" w:cs="Arial"/>
              </w:rPr>
            </w:pPr>
            <w:r w:rsidRPr="00902A0D">
              <w:rPr>
                <w:rFonts w:eastAsia="Arial" w:cs="Arial"/>
              </w:rPr>
              <w:t>Foz do Neblina</w:t>
            </w:r>
          </w:p>
        </w:tc>
        <w:tc>
          <w:tcPr>
            <w:tcW w:w="1842" w:type="dxa"/>
          </w:tcPr>
          <w:p w14:paraId="7107FA8B" w14:textId="77777777" w:rsidR="00E233F8" w:rsidRDefault="00E233F8" w:rsidP="00E233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3,74</w:t>
            </w:r>
          </w:p>
        </w:tc>
        <w:tc>
          <w:tcPr>
            <w:tcW w:w="2268" w:type="dxa"/>
          </w:tcPr>
          <w:p w14:paraId="5A239457" w14:textId="77777777" w:rsidR="00E233F8" w:rsidRDefault="00E233F8" w:rsidP="00E233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1,12</w:t>
            </w:r>
          </w:p>
        </w:tc>
      </w:tr>
      <w:tr w:rsidR="00E233F8" w14:paraId="02D66362" w14:textId="77777777" w:rsidTr="00E233F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313FEF2" w14:textId="77777777" w:rsidR="00E233F8" w:rsidRDefault="00E233F8" w:rsidP="00E233F8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Controle positivo</w:t>
            </w:r>
          </w:p>
        </w:tc>
        <w:tc>
          <w:tcPr>
            <w:tcW w:w="1842" w:type="dxa"/>
          </w:tcPr>
          <w:p w14:paraId="71286732" w14:textId="77777777" w:rsidR="00E233F8" w:rsidRDefault="00E233F8" w:rsidP="00E233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3,80</w:t>
            </w:r>
          </w:p>
        </w:tc>
        <w:tc>
          <w:tcPr>
            <w:tcW w:w="2268" w:type="dxa"/>
          </w:tcPr>
          <w:p w14:paraId="360BEED6" w14:textId="77777777" w:rsidR="00E233F8" w:rsidRDefault="00E233F8" w:rsidP="00E233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1,02</w:t>
            </w:r>
          </w:p>
        </w:tc>
      </w:tr>
      <w:tr w:rsidR="00E233F8" w14:paraId="4A43957F" w14:textId="77777777" w:rsidTr="00E233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5AF5FB2" w14:textId="77777777" w:rsidR="00E233F8" w:rsidRDefault="00E233F8" w:rsidP="00E233F8">
            <w:pPr>
              <w:jc w:val="center"/>
              <w:rPr>
                <w:rFonts w:eastAsia="Arial" w:cs="Arial"/>
              </w:rPr>
            </w:pPr>
            <w:r w:rsidRPr="00902A0D">
              <w:rPr>
                <w:rFonts w:eastAsia="Arial" w:cs="Arial"/>
              </w:rPr>
              <w:t>Prainha da Via Lago</w:t>
            </w:r>
          </w:p>
        </w:tc>
        <w:tc>
          <w:tcPr>
            <w:tcW w:w="1842" w:type="dxa"/>
          </w:tcPr>
          <w:p w14:paraId="63F7193D" w14:textId="77777777" w:rsidR="00E233F8" w:rsidRDefault="00E233F8" w:rsidP="00E233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2,72</w:t>
            </w:r>
          </w:p>
        </w:tc>
        <w:tc>
          <w:tcPr>
            <w:tcW w:w="2268" w:type="dxa"/>
          </w:tcPr>
          <w:p w14:paraId="19902762" w14:textId="77777777" w:rsidR="00E233F8" w:rsidRDefault="00E233F8" w:rsidP="00E233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0,88</w:t>
            </w:r>
          </w:p>
        </w:tc>
      </w:tr>
      <w:tr w:rsidR="00E233F8" w14:paraId="2C58A28F" w14:textId="77777777" w:rsidTr="00E233F8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DCAFA23" w14:textId="77777777" w:rsidR="00E233F8" w:rsidRDefault="00E233F8" w:rsidP="00E233F8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Controle negativo</w:t>
            </w:r>
          </w:p>
        </w:tc>
        <w:tc>
          <w:tcPr>
            <w:tcW w:w="1842" w:type="dxa"/>
          </w:tcPr>
          <w:p w14:paraId="0EEAD1C2" w14:textId="77777777" w:rsidR="00E233F8" w:rsidRDefault="00E233F8" w:rsidP="00E233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3,46</w:t>
            </w:r>
          </w:p>
        </w:tc>
        <w:tc>
          <w:tcPr>
            <w:tcW w:w="2268" w:type="dxa"/>
          </w:tcPr>
          <w:p w14:paraId="617DA610" w14:textId="77777777" w:rsidR="00E233F8" w:rsidRDefault="00E233F8" w:rsidP="00E233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0,04</w:t>
            </w:r>
          </w:p>
        </w:tc>
      </w:tr>
    </w:tbl>
    <w:p w14:paraId="60D51B6E" w14:textId="57C9580A" w:rsidR="00AD01F7" w:rsidRDefault="00AD01F7" w:rsidP="00FE73E3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</w:p>
    <w:p w14:paraId="62434C4D" w14:textId="57EBF0C6" w:rsidR="00E233F8" w:rsidRDefault="00E233F8" w:rsidP="00FE73E3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</w:p>
    <w:p w14:paraId="1180C655" w14:textId="6D4BADDD" w:rsidR="00E233F8" w:rsidRDefault="00E233F8" w:rsidP="00FE73E3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</w:p>
    <w:p w14:paraId="0B59EB34" w14:textId="5DE55F99" w:rsidR="00E233F8" w:rsidRDefault="00E233F8" w:rsidP="00FE73E3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</w:p>
    <w:p w14:paraId="43914FE4" w14:textId="10FD47A6" w:rsidR="00E233F8" w:rsidRDefault="00E233F8" w:rsidP="00FE73E3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</w:p>
    <w:p w14:paraId="5FB269A5" w14:textId="77777777" w:rsidR="00E233F8" w:rsidRDefault="00E233F8" w:rsidP="00FE73E3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</w:p>
    <w:p w14:paraId="52A3C7CC" w14:textId="5E456ABC" w:rsidR="00D54C96" w:rsidRPr="00D54C96" w:rsidRDefault="00D54C96" w:rsidP="00FE73E3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D54C96">
        <w:rPr>
          <w:rFonts w:ascii="Arial" w:eastAsia="Arial" w:hAnsi="Arial" w:cs="Arial"/>
          <w:sz w:val="24"/>
          <w:szCs w:val="24"/>
        </w:rPr>
        <w:t xml:space="preserve">Esses </w:t>
      </w:r>
      <w:r w:rsidR="002473A4">
        <w:rPr>
          <w:rFonts w:ascii="Arial" w:eastAsia="Arial" w:hAnsi="Arial" w:cs="Arial"/>
          <w:sz w:val="24"/>
          <w:szCs w:val="24"/>
        </w:rPr>
        <w:t>resultados</w:t>
      </w:r>
      <w:r w:rsidRPr="00D54C96">
        <w:rPr>
          <w:rFonts w:ascii="Arial" w:eastAsia="Arial" w:hAnsi="Arial" w:cs="Arial"/>
          <w:sz w:val="24"/>
          <w:szCs w:val="24"/>
        </w:rPr>
        <w:t xml:space="preserve"> </w:t>
      </w:r>
      <w:r w:rsidR="002473A4">
        <w:rPr>
          <w:rFonts w:ascii="Arial" w:eastAsia="Arial" w:hAnsi="Arial" w:cs="Arial"/>
          <w:sz w:val="24"/>
          <w:szCs w:val="24"/>
        </w:rPr>
        <w:t xml:space="preserve">destacam </w:t>
      </w:r>
      <w:r w:rsidRPr="00D54C96">
        <w:rPr>
          <w:rFonts w:ascii="Arial" w:eastAsia="Arial" w:hAnsi="Arial" w:cs="Arial"/>
          <w:sz w:val="24"/>
          <w:szCs w:val="24"/>
        </w:rPr>
        <w:t>a importância do monitoramento da qualidade da água com parâmetros físico-químicos e bioindicadores,</w:t>
      </w:r>
      <w:r w:rsidR="002473A4" w:rsidRPr="002473A4">
        <w:t xml:space="preserve"> </w:t>
      </w:r>
      <w:r w:rsidR="002473A4" w:rsidRPr="002473A4">
        <w:rPr>
          <w:rFonts w:ascii="Arial" w:eastAsia="Arial" w:hAnsi="Arial" w:cs="Arial"/>
          <w:sz w:val="24"/>
          <w:szCs w:val="24"/>
        </w:rPr>
        <w:t>para diagnosticar os efeitos de xenobióticos no metabolismo celular.</w:t>
      </w:r>
    </w:p>
    <w:p w14:paraId="6D8FF36B" w14:textId="77777777" w:rsidR="002B4A64" w:rsidRDefault="00D54C96" w:rsidP="002473A4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D54C96">
        <w:rPr>
          <w:rFonts w:ascii="Arial" w:eastAsia="Arial" w:hAnsi="Arial" w:cs="Arial"/>
          <w:sz w:val="24"/>
          <w:szCs w:val="24"/>
        </w:rPr>
        <w:t>A ocorrência dessas anomalias em águas superficiais tem sido relatada em corpos hídricos altamente impactados, como o Rio Tietê (SP) e o Rio dos Sinos (RS)</w:t>
      </w:r>
      <w:r w:rsidR="00FE73E3">
        <w:rPr>
          <w:rFonts w:ascii="Arial" w:eastAsia="Arial" w:hAnsi="Arial" w:cs="Arial"/>
          <w:sz w:val="24"/>
          <w:szCs w:val="24"/>
        </w:rPr>
        <w:t xml:space="preserve"> </w:t>
      </w:r>
      <w:r w:rsidR="00FE73E3" w:rsidRPr="00FE73E3">
        <w:rPr>
          <w:rFonts w:ascii="Arial" w:eastAsia="Arial" w:hAnsi="Arial" w:cs="Arial"/>
          <w:sz w:val="24"/>
          <w:szCs w:val="24"/>
        </w:rPr>
        <w:t>SILVA &amp; NASCIMENT</w:t>
      </w:r>
      <w:r w:rsidR="00FE73E3">
        <w:rPr>
          <w:rFonts w:ascii="Arial" w:eastAsia="Arial" w:hAnsi="Arial" w:cs="Arial"/>
          <w:sz w:val="24"/>
          <w:szCs w:val="24"/>
        </w:rPr>
        <w:t>O, 2013; OLIVEIRA et al., 2012)</w:t>
      </w:r>
      <w:r w:rsidRPr="00D54C96">
        <w:rPr>
          <w:rFonts w:ascii="Arial" w:eastAsia="Arial" w:hAnsi="Arial" w:cs="Arial"/>
          <w:sz w:val="24"/>
          <w:szCs w:val="24"/>
        </w:rPr>
        <w:t xml:space="preserve">. </w:t>
      </w:r>
      <w:r w:rsidR="002B4A64" w:rsidRPr="002B4A64">
        <w:rPr>
          <w:rFonts w:ascii="Arial" w:eastAsia="Arial" w:hAnsi="Arial" w:cs="Arial"/>
          <w:sz w:val="24"/>
          <w:szCs w:val="24"/>
        </w:rPr>
        <w:t>Alguns bioindicadores podem ser aplicadas em substituição de equipamentos de detecção. Entre os organismos mais conhecidos como bioindicadores destacam-se as plantas vasculares, as briófitas, as algas, os invertebrados e os vertebrados (LIJTEROFF et al., 2008). Segundo BAGLIANO (2012), os vegetais possuem vantagens quando refere-se aos maiores níveis fenotípicos do que os animais, significando que os efeitos são mais aparentes e potencialmente mais fáceis e quantitativos de serem mensuráveis. Órgãos como as folhas e as raízes absorvem compostos tóxicos que entram em seus tecidos fazendo alterações em sua morfologia e fisiologia mostrando os efeitos dos impactos ambientais em seu organismo</w:t>
      </w:r>
      <w:r w:rsidR="002B4A64">
        <w:rPr>
          <w:rFonts w:ascii="Arial" w:eastAsia="Arial" w:hAnsi="Arial" w:cs="Arial"/>
          <w:sz w:val="24"/>
          <w:szCs w:val="24"/>
        </w:rPr>
        <w:t>.</w:t>
      </w:r>
    </w:p>
    <w:p w14:paraId="6F660E7F" w14:textId="3E3D345F" w:rsidR="002B4A64" w:rsidRDefault="002B4A64" w:rsidP="00AA5487">
      <w:pPr>
        <w:spacing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2B4A64">
        <w:rPr>
          <w:rFonts w:ascii="Arial" w:eastAsia="Arial" w:hAnsi="Arial" w:cs="Arial"/>
          <w:sz w:val="24"/>
          <w:szCs w:val="24"/>
        </w:rPr>
        <w:t xml:space="preserve">A realização de bioensaios com </w:t>
      </w:r>
      <w:r w:rsidRPr="002B4A64">
        <w:rPr>
          <w:rFonts w:ascii="Arial" w:eastAsia="Arial" w:hAnsi="Arial" w:cs="Arial"/>
          <w:i/>
          <w:sz w:val="24"/>
          <w:szCs w:val="24"/>
        </w:rPr>
        <w:t>Allium cepa</w:t>
      </w:r>
      <w:r w:rsidRPr="002B4A64">
        <w:rPr>
          <w:rFonts w:ascii="Arial" w:eastAsia="Arial" w:hAnsi="Arial" w:cs="Arial"/>
          <w:sz w:val="24"/>
          <w:szCs w:val="24"/>
        </w:rPr>
        <w:t xml:space="preserve"> é uma ferramenta importante na avaliação, monitoramento e detecção de contaminantes no ambiente. Esse teste é considerado uma ferramenta útil para a pesquisa básica do potencial genotóxico e citotóxico de produtos químicos na determinação da contaminação ambiental. Esse teste é validado pelo Programa Internacional de Segurança Química (IPCS, OMS) e o Programa Ambiental das Nações Unidas (UNEP) (CABRERA &amp; RODRIG</w:t>
      </w:r>
      <w:r w:rsidR="00AA5487">
        <w:rPr>
          <w:rFonts w:ascii="Arial" w:eastAsia="Arial" w:hAnsi="Arial" w:cs="Arial"/>
          <w:sz w:val="24"/>
          <w:szCs w:val="24"/>
        </w:rPr>
        <w:t xml:space="preserve">UEZ, 1999). </w:t>
      </w:r>
      <w:r w:rsidR="004A0909">
        <w:rPr>
          <w:rFonts w:ascii="Arial" w:eastAsia="Arial" w:hAnsi="Arial" w:cs="Arial"/>
          <w:sz w:val="24"/>
          <w:szCs w:val="24"/>
        </w:rPr>
        <w:t xml:space="preserve">Atualmente é importante monitorar os recursos hídricos utilizando os parâmetros físicos-químicos associados aos bioindicadores para melhor compreensão da qualidade das águas, </w:t>
      </w:r>
      <w:r w:rsidR="004A0909" w:rsidRPr="004A0909">
        <w:rPr>
          <w:rFonts w:ascii="Arial" w:eastAsia="Arial" w:hAnsi="Arial" w:cs="Arial"/>
          <w:sz w:val="24"/>
          <w:szCs w:val="24"/>
        </w:rPr>
        <w:t>já que por vezes essas águas apresentam-se em conformidade com os padrões físico-químicos de qual</w:t>
      </w:r>
      <w:r w:rsidR="004A0909">
        <w:rPr>
          <w:rFonts w:ascii="Arial" w:eastAsia="Arial" w:hAnsi="Arial" w:cs="Arial"/>
          <w:sz w:val="24"/>
          <w:szCs w:val="24"/>
        </w:rPr>
        <w:t xml:space="preserve">idade definidos pela legislação, porém, </w:t>
      </w:r>
      <w:r w:rsidR="00CB336D">
        <w:rPr>
          <w:rFonts w:ascii="Arial" w:eastAsia="Arial" w:hAnsi="Arial" w:cs="Arial"/>
          <w:sz w:val="24"/>
          <w:szCs w:val="24"/>
        </w:rPr>
        <w:t xml:space="preserve">monitorar a toxicidade das águas </w:t>
      </w:r>
      <w:r w:rsidR="00CB336D" w:rsidRPr="00F94B7A">
        <w:rPr>
          <w:rFonts w:ascii="Arial" w:eastAsia="Arial" w:hAnsi="Arial" w:cs="Arial"/>
          <w:sz w:val="24"/>
          <w:szCs w:val="24"/>
        </w:rPr>
        <w:t>é fundamental para co</w:t>
      </w:r>
      <w:r w:rsidR="00CB336D">
        <w:rPr>
          <w:rFonts w:ascii="Arial" w:eastAsia="Arial" w:hAnsi="Arial" w:cs="Arial"/>
          <w:sz w:val="24"/>
          <w:szCs w:val="24"/>
        </w:rPr>
        <w:t>nhecer possíveis influências dos</w:t>
      </w:r>
      <w:r w:rsidR="00CB336D" w:rsidRPr="00F94B7A">
        <w:rPr>
          <w:rFonts w:ascii="Arial" w:eastAsia="Arial" w:hAnsi="Arial" w:cs="Arial"/>
          <w:sz w:val="24"/>
          <w:szCs w:val="24"/>
        </w:rPr>
        <w:t xml:space="preserve"> xenobióticos na comunidade biológica</w:t>
      </w:r>
      <w:r w:rsidR="00CB336D">
        <w:rPr>
          <w:rFonts w:ascii="Arial" w:eastAsia="Arial" w:hAnsi="Arial" w:cs="Arial"/>
          <w:sz w:val="24"/>
          <w:szCs w:val="24"/>
        </w:rPr>
        <w:t>.</w:t>
      </w:r>
    </w:p>
    <w:p w14:paraId="0E787C8D" w14:textId="666004CF" w:rsidR="00930701" w:rsidRDefault="00486485" w:rsidP="00C42011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CONCLUSÃO/CONSIDERAÇÕES FINAIS</w:t>
      </w:r>
    </w:p>
    <w:p w14:paraId="0CA55BE2" w14:textId="77777777" w:rsidR="004A0909" w:rsidRDefault="004A0909" w:rsidP="004A0909">
      <w:pPr>
        <w:spacing w:after="0" w:line="36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6D8F90E2" w14:textId="77777777" w:rsidR="00602671" w:rsidRDefault="00C42011" w:rsidP="00602671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C42011">
        <w:rPr>
          <w:rFonts w:ascii="Arial" w:eastAsia="Arial" w:hAnsi="Arial" w:cs="Arial"/>
          <w:sz w:val="24"/>
          <w:szCs w:val="24"/>
        </w:rPr>
        <w:t>Os</w:t>
      </w:r>
      <w:r w:rsidR="00602671">
        <w:rPr>
          <w:rFonts w:ascii="Arial" w:eastAsia="Arial" w:hAnsi="Arial" w:cs="Arial"/>
          <w:sz w:val="24"/>
          <w:szCs w:val="24"/>
        </w:rPr>
        <w:t xml:space="preserve"> </w:t>
      </w:r>
      <w:r w:rsidR="00602671" w:rsidRPr="00602671">
        <w:rPr>
          <w:rFonts w:ascii="Arial" w:eastAsia="Arial" w:hAnsi="Arial" w:cs="Arial"/>
          <w:sz w:val="24"/>
          <w:szCs w:val="24"/>
        </w:rPr>
        <w:t>e</w:t>
      </w:r>
      <w:r w:rsidR="00602671">
        <w:rPr>
          <w:rFonts w:ascii="Arial" w:eastAsia="Arial" w:hAnsi="Arial" w:cs="Arial"/>
          <w:sz w:val="24"/>
          <w:szCs w:val="24"/>
        </w:rPr>
        <w:t>studos e</w:t>
      </w:r>
      <w:r w:rsidR="00602671" w:rsidRPr="00602671">
        <w:rPr>
          <w:rFonts w:ascii="Arial" w:eastAsia="Arial" w:hAnsi="Arial" w:cs="Arial"/>
          <w:sz w:val="24"/>
          <w:szCs w:val="24"/>
        </w:rPr>
        <w:t xml:space="preserve"> análises realizadas com o bioindicador </w:t>
      </w:r>
      <w:r w:rsidR="00602671" w:rsidRPr="00DA068F">
        <w:rPr>
          <w:rFonts w:ascii="Arial" w:eastAsia="Arial" w:hAnsi="Arial" w:cs="Arial"/>
          <w:i/>
          <w:sz w:val="24"/>
          <w:szCs w:val="24"/>
        </w:rPr>
        <w:t>Allium C</w:t>
      </w:r>
      <w:r w:rsidR="00602671" w:rsidRPr="00602671">
        <w:rPr>
          <w:rFonts w:ascii="Arial" w:eastAsia="Arial" w:hAnsi="Arial" w:cs="Arial"/>
          <w:sz w:val="24"/>
          <w:szCs w:val="24"/>
        </w:rPr>
        <w:t xml:space="preserve">epa mostraram a importância do monitoramento da qualidade ambiental, sobretudo do lago Azul/ Rio Lontra utilizado como recreação e subsistência para a comunidade. </w:t>
      </w:r>
    </w:p>
    <w:p w14:paraId="0B464171" w14:textId="1F78A5F4" w:rsidR="00602671" w:rsidRDefault="00602671" w:rsidP="00602671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602671">
        <w:rPr>
          <w:rFonts w:ascii="Arial" w:eastAsia="Arial" w:hAnsi="Arial" w:cs="Arial"/>
          <w:sz w:val="24"/>
          <w:szCs w:val="24"/>
        </w:rPr>
        <w:t>Os resultados fornecem um diagnóstico sobre a citoxicidade e as condições celulares ao longo dos pontos de coleta no Lago Azul/Rio Lontra, indicando uma possível exposição a</w:t>
      </w:r>
      <w:r w:rsidR="00F94B7A">
        <w:rPr>
          <w:rFonts w:ascii="Arial" w:eastAsia="Arial" w:hAnsi="Arial" w:cs="Arial"/>
          <w:sz w:val="24"/>
          <w:szCs w:val="24"/>
        </w:rPr>
        <w:t>os</w:t>
      </w:r>
      <w:r w:rsidRPr="00602671">
        <w:rPr>
          <w:rFonts w:ascii="Arial" w:eastAsia="Arial" w:hAnsi="Arial" w:cs="Arial"/>
          <w:sz w:val="24"/>
          <w:szCs w:val="24"/>
        </w:rPr>
        <w:t xml:space="preserve"> xenobióticos que comprometem a integridade celular e a atividade mitótica. </w:t>
      </w:r>
    </w:p>
    <w:p w14:paraId="14BA7154" w14:textId="77777777" w:rsidR="00602671" w:rsidRDefault="00602671" w:rsidP="00602671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602671">
        <w:rPr>
          <w:rFonts w:ascii="Arial" w:eastAsia="Arial" w:hAnsi="Arial" w:cs="Arial"/>
          <w:sz w:val="24"/>
          <w:szCs w:val="24"/>
        </w:rPr>
        <w:t xml:space="preserve">Os resultados obtidos não apenas ampliam o entendimento sobre a influência das ações antrópicas na cidade de Araguaína, mas também fornecem informações para a gestão e conservação dos recursos hídricos. A continuidade do monitoramento e a investigação de fontes de poluição são essenciais para preservar a qualidade ecológica e garantir a proteção dos ecossistemas aquáticos. </w:t>
      </w:r>
    </w:p>
    <w:p w14:paraId="6022F26C" w14:textId="21495123" w:rsidR="00C42011" w:rsidRPr="00C42011" w:rsidRDefault="00602671" w:rsidP="00602671">
      <w:pPr>
        <w:spacing w:after="0" w:line="360" w:lineRule="auto"/>
        <w:ind w:firstLine="357"/>
        <w:jc w:val="both"/>
        <w:rPr>
          <w:rFonts w:ascii="Arial" w:eastAsia="Arial" w:hAnsi="Arial" w:cs="Arial"/>
          <w:sz w:val="24"/>
          <w:szCs w:val="24"/>
        </w:rPr>
      </w:pPr>
      <w:r w:rsidRPr="00602671">
        <w:rPr>
          <w:rFonts w:ascii="Arial" w:eastAsia="Arial" w:hAnsi="Arial" w:cs="Arial"/>
          <w:sz w:val="24"/>
          <w:szCs w:val="24"/>
        </w:rPr>
        <w:t>Testar a toxicidade das águas do rio Lontra é fundamental para conhecer a influência de xenobióticos na comunidade biológica, já que por vezes essas águas apresentam-se em conformidade com os padrões físico-químicos de qualidade definidos pela legislação.</w:t>
      </w:r>
    </w:p>
    <w:p w14:paraId="276E645F" w14:textId="5FABA57A" w:rsidR="00930701" w:rsidRDefault="00930701" w:rsidP="00C42011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2DB845F" w14:textId="24FB0B38" w:rsidR="00696633" w:rsidRPr="00696633" w:rsidRDefault="00486485" w:rsidP="00696633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  <w:r>
        <w:rPr>
          <w:rFonts w:ascii="Arial" w:eastAsia="Arial" w:hAnsi="Arial" w:cs="Arial"/>
          <w:b/>
          <w:sz w:val="24"/>
          <w:szCs w:val="24"/>
        </w:rPr>
        <w:t>REFERÊNCIA</w:t>
      </w:r>
    </w:p>
    <w:p w14:paraId="5CDDDB4F" w14:textId="77777777" w:rsidR="00696633" w:rsidRDefault="00696633" w:rsidP="00150DA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96633">
        <w:rPr>
          <w:rFonts w:ascii="Arial" w:hAnsi="Arial" w:cs="Arial"/>
          <w:sz w:val="24"/>
          <w:szCs w:val="24"/>
          <w:lang w:val="en-US"/>
        </w:rPr>
        <w:t>ALI, H.; KHAN, E.; ILAHI, I. Environmental chemistry and ecotoxicology of hazardous heavy metals. Environmental persistence, toxicity and bioaccumulation. Hindawi Journal of Chemistry, v.14, 2019.</w:t>
      </w:r>
    </w:p>
    <w:p w14:paraId="558605C9" w14:textId="77777777" w:rsidR="00696633" w:rsidRPr="00696633" w:rsidRDefault="00696633" w:rsidP="00150DA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5529844" w14:textId="77777777" w:rsidR="00C42011" w:rsidRPr="00C42011" w:rsidRDefault="00C42011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C42011">
        <w:rPr>
          <w:rFonts w:ascii="Arial" w:hAnsi="Arial" w:cs="Arial"/>
          <w:sz w:val="24"/>
          <w:szCs w:val="24"/>
          <w:lang w:val="en-US"/>
        </w:rPr>
        <w:t>ANACLETO, L.R.; ROBERTO. M.M., MARIN-MORALES, M.A. Toxicological effects of the waste of the sugarcane industry, used as agricultural fertilizer, on the test system Allium cepa. Chemosphere, v. 173, p. 31-42, 2017.</w:t>
      </w:r>
    </w:p>
    <w:p w14:paraId="1CA835F5" w14:textId="77777777" w:rsidR="00C42011" w:rsidRPr="00C42011" w:rsidRDefault="00C42011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14:paraId="66A4254B" w14:textId="77777777" w:rsidR="00C42011" w:rsidRDefault="00C42011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C42011">
        <w:rPr>
          <w:rFonts w:ascii="Arial" w:hAnsi="Arial" w:cs="Arial"/>
          <w:sz w:val="24"/>
          <w:szCs w:val="24"/>
          <w:lang w:val="en-US"/>
        </w:rPr>
        <w:t>BELPOMME, D.; Irigaray P.; Hardell L.  The multitude and diversity of environmental carcinogens. Environmental Research, v.105, n.3, p.414-29, 2007.</w:t>
      </w:r>
    </w:p>
    <w:p w14:paraId="4763F6CE" w14:textId="77777777" w:rsidR="00696633" w:rsidRPr="00C42011" w:rsidRDefault="00696633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14:paraId="4C5981FB" w14:textId="0CBACFE3" w:rsidR="00C42011" w:rsidRDefault="00C42011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C42011">
        <w:rPr>
          <w:rFonts w:ascii="Arial" w:hAnsi="Arial" w:cs="Arial"/>
          <w:sz w:val="24"/>
          <w:szCs w:val="24"/>
          <w:lang w:val="en-US"/>
        </w:rPr>
        <w:t xml:space="preserve">BOLOGNESI, C.; HAYASHI, M. Micronucleus assay in aquatic animals. </w:t>
      </w:r>
      <w:r w:rsidRPr="00C35834">
        <w:rPr>
          <w:rFonts w:ascii="Arial" w:hAnsi="Arial" w:cs="Arial"/>
          <w:sz w:val="24"/>
          <w:szCs w:val="24"/>
          <w:lang w:val="en-US"/>
        </w:rPr>
        <w:t>Mutagenesis, v.26, p.205-213, 2011.</w:t>
      </w:r>
    </w:p>
    <w:p w14:paraId="75C5FB59" w14:textId="4F21F832" w:rsidR="002B4A64" w:rsidRDefault="002B4A64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14:paraId="653B7E63" w14:textId="723251E1" w:rsidR="002B4A64" w:rsidRPr="00C35834" w:rsidRDefault="002B4A64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2B4A64">
        <w:rPr>
          <w:rFonts w:ascii="Arial" w:hAnsi="Arial" w:cs="Arial"/>
          <w:sz w:val="24"/>
          <w:szCs w:val="24"/>
          <w:lang w:val="en-US"/>
        </w:rPr>
        <w:t>CABRERA, Guillermo L., RODRIGUES, D. M. G. Genotoxicity of soil from farmland irrigated with wastewater using three plant biossays. Mutation Research, n° 426, p. 211-214, 1999.</w:t>
      </w:r>
    </w:p>
    <w:p w14:paraId="5D07F4DF" w14:textId="77777777" w:rsidR="00C42011" w:rsidRDefault="00C42011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14:paraId="739F89C0" w14:textId="77777777" w:rsidR="00041E63" w:rsidRDefault="00C42011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C42011">
        <w:rPr>
          <w:rFonts w:ascii="Arial" w:hAnsi="Arial" w:cs="Arial"/>
          <w:sz w:val="24"/>
          <w:szCs w:val="24"/>
          <w:lang w:val="en-US"/>
        </w:rPr>
        <w:t>EVSEEVA, T. I.; GERAS’KIN, S. A.; SHUKTOMOVA, I. I. Genotoxicity and toxicity assay of water sampled from a radium production industry storage cell territory by means of Allium test. Journal of Environmetal Radioactivity, Oxford, v. 68, p. 235-248, 2003</w:t>
      </w:r>
      <w:r w:rsidR="00041E63">
        <w:rPr>
          <w:rFonts w:ascii="Arial" w:hAnsi="Arial" w:cs="Arial"/>
          <w:sz w:val="24"/>
          <w:szCs w:val="24"/>
          <w:lang w:val="en-US"/>
        </w:rPr>
        <w:t>.</w:t>
      </w:r>
    </w:p>
    <w:p w14:paraId="7442C18A" w14:textId="77777777" w:rsidR="00041E63" w:rsidRDefault="00041E63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14:paraId="59E41261" w14:textId="4A748C9A" w:rsidR="00C42011" w:rsidRDefault="00C42011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C42011">
        <w:rPr>
          <w:rFonts w:ascii="Arial" w:hAnsi="Arial" w:cs="Arial"/>
          <w:sz w:val="24"/>
          <w:szCs w:val="24"/>
          <w:lang w:val="en-US"/>
        </w:rPr>
        <w:t>LIU, J. L.; Li, X.Y. Biodegradation and biotransformation of the wastewater organics as precursors of disinfection byproducts in water. In: Chemosphere, 81:1075-83. 2010</w:t>
      </w:r>
      <w:r w:rsidRPr="00C42011">
        <w:rPr>
          <w:rFonts w:ascii="Arial" w:hAnsi="Arial" w:cs="Arial"/>
          <w:sz w:val="24"/>
          <w:szCs w:val="24"/>
          <w:lang w:val="en-US"/>
        </w:rPr>
        <w:br/>
      </w:r>
    </w:p>
    <w:p w14:paraId="711308E0" w14:textId="3ABB0C92" w:rsidR="00C42011" w:rsidRDefault="00C42011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C42011">
        <w:rPr>
          <w:rFonts w:ascii="Arial" w:hAnsi="Arial" w:cs="Arial"/>
          <w:sz w:val="24"/>
          <w:szCs w:val="24"/>
          <w:lang w:val="en-US"/>
        </w:rPr>
        <w:t>MONARCA, S.; FERETTI, D; COLLIVIGNARELLI, C, The influence of different disinfectants on mutagenicity and toxicity of urban wasterwater. Water Research, 34:4261-69, 2000.</w:t>
      </w:r>
    </w:p>
    <w:p w14:paraId="34DE166E" w14:textId="717969E4" w:rsidR="00FE73E3" w:rsidRDefault="00FE73E3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14:paraId="59E0471D" w14:textId="4A860669" w:rsidR="00FE73E3" w:rsidRDefault="00FE73E3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E73E3">
        <w:rPr>
          <w:rFonts w:ascii="Arial" w:hAnsi="Arial" w:cs="Arial"/>
          <w:sz w:val="24"/>
          <w:szCs w:val="24"/>
          <w:lang w:val="en-US"/>
        </w:rPr>
        <w:t>OLIVEIRA, T. M. Diagnóstico da qualidade físico-química e biológica dos afluentes da bacia do alto rio Pirapó. Dissertação (Mestrado) - UEM, Maringá, PR, 2004.</w:t>
      </w:r>
    </w:p>
    <w:p w14:paraId="13C52C7E" w14:textId="77777777" w:rsidR="00041E63" w:rsidRDefault="00041E63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14:paraId="7A947A64" w14:textId="18A64174" w:rsidR="00930701" w:rsidRDefault="00C42011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C42011">
        <w:rPr>
          <w:rFonts w:ascii="Arial" w:hAnsi="Arial" w:cs="Arial"/>
          <w:sz w:val="24"/>
          <w:szCs w:val="24"/>
          <w:lang w:val="en-US"/>
        </w:rPr>
        <w:t>PALSIKOWSKI, P.A.; ROBERTO, M.M.; SOMMAGGIO, L.R.D.; SOUZA, P.M.S.;</w:t>
      </w:r>
      <w:r w:rsidR="00633F65">
        <w:rPr>
          <w:rFonts w:ascii="Arial" w:hAnsi="Arial" w:cs="Arial"/>
          <w:sz w:val="24"/>
          <w:szCs w:val="24"/>
          <w:lang w:val="en-US"/>
        </w:rPr>
        <w:t xml:space="preserve"> </w:t>
      </w:r>
      <w:r w:rsidRPr="00C42011">
        <w:rPr>
          <w:rFonts w:ascii="Arial" w:hAnsi="Arial" w:cs="Arial"/>
          <w:sz w:val="24"/>
          <w:szCs w:val="24"/>
          <w:lang w:val="en-US"/>
        </w:rPr>
        <w:t xml:space="preserve">MORALES, A.R.; MARIN-MORALES, M.A. Ecotoxicity Evaluation of the Biodegradable Polymers PLA, PBAT and its Blends Using Allium cepa as Test Organism. </w:t>
      </w:r>
      <w:r w:rsidRPr="00633F65">
        <w:rPr>
          <w:rFonts w:ascii="Arial" w:hAnsi="Arial" w:cs="Arial"/>
          <w:sz w:val="24"/>
          <w:szCs w:val="24"/>
          <w:lang w:val="en-US"/>
        </w:rPr>
        <w:t>Journal of Polymers and the Environment, v. 26, p. 938–945, 2017.</w:t>
      </w:r>
    </w:p>
    <w:p w14:paraId="3D29AEB8" w14:textId="7151637F" w:rsidR="00FE73E3" w:rsidRDefault="00FE73E3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14:paraId="5A62F8BE" w14:textId="0C632F83" w:rsidR="00FE73E3" w:rsidRPr="00633F65" w:rsidRDefault="00FE73E3" w:rsidP="00150DA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E73E3">
        <w:rPr>
          <w:rFonts w:ascii="Arial" w:hAnsi="Arial" w:cs="Arial"/>
          <w:sz w:val="24"/>
          <w:szCs w:val="24"/>
          <w:lang w:val="en-US"/>
        </w:rPr>
        <w:t xml:space="preserve">SILVA C.C., NASCIMENTO F.M. Citogenotoxicidade de amostras de água do Rio Tietê em células meristemáticas radiculares de </w:t>
      </w:r>
      <w:r w:rsidRPr="00DC721F">
        <w:rPr>
          <w:rFonts w:ascii="Arial" w:hAnsi="Arial" w:cs="Arial"/>
          <w:i/>
          <w:sz w:val="24"/>
          <w:szCs w:val="24"/>
          <w:lang w:val="en-US"/>
        </w:rPr>
        <w:t>Allium cepa</w:t>
      </w:r>
      <w:r w:rsidRPr="00FE73E3">
        <w:rPr>
          <w:rFonts w:ascii="Arial" w:hAnsi="Arial" w:cs="Arial"/>
          <w:sz w:val="24"/>
          <w:szCs w:val="24"/>
          <w:lang w:val="en-US"/>
        </w:rPr>
        <w:t>. Atas de saúde ambiental. 2013;1(1):26-35.</w:t>
      </w:r>
    </w:p>
    <w:p w14:paraId="2D283A4D" w14:textId="77777777" w:rsidR="00930701" w:rsidRPr="00C42011" w:rsidRDefault="00930701" w:rsidP="00150DAD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  <w:lang w:val="en-US"/>
        </w:rPr>
      </w:pPr>
    </w:p>
    <w:p w14:paraId="7B516C11" w14:textId="77777777" w:rsidR="00930701" w:rsidRDefault="00486485" w:rsidP="00C35834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AGRADECIMENTOS</w:t>
      </w:r>
    </w:p>
    <w:p w14:paraId="5891AF69" w14:textId="06E71DA5" w:rsidR="00930701" w:rsidRDefault="004B6616" w:rsidP="00DC721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CNPq pelo apoio financeiro, que viabilizou este estudo.</w:t>
      </w:r>
    </w:p>
    <w:p w14:paraId="6B68F045" w14:textId="4C985192" w:rsidR="0005362D" w:rsidRDefault="0005362D" w:rsidP="00DC721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5362D">
        <w:rPr>
          <w:rFonts w:ascii="Arial" w:eastAsia="Arial" w:hAnsi="Arial" w:cs="Arial"/>
          <w:sz w:val="24"/>
          <w:szCs w:val="24"/>
        </w:rPr>
        <w:t>Programa Nacional de Cooperação Acadêmica na Amazônia – PROCAD/Amazônia da Coordenação de Aperfeiçoamento de Pessoal de Nível Superior – CAPES/Brasil</w:t>
      </w:r>
    </w:p>
    <w:sectPr w:rsidR="0005362D" w:rsidSect="00C42011">
      <w:headerReference w:type="default" r:id="rId9"/>
      <w:footerReference w:type="default" r:id="rId10"/>
      <w:type w:val="continuous"/>
      <w:pgSz w:w="11906" w:h="16838"/>
      <w:pgMar w:top="1418" w:right="1418" w:bottom="1418" w:left="1418" w:header="709" w:footer="709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352BE" w14:textId="77777777" w:rsidR="00501282" w:rsidRDefault="00501282">
      <w:pPr>
        <w:spacing w:after="0" w:line="240" w:lineRule="auto"/>
      </w:pPr>
      <w:r>
        <w:separator/>
      </w:r>
    </w:p>
  </w:endnote>
  <w:endnote w:type="continuationSeparator" w:id="0">
    <w:p w14:paraId="4F2817C3" w14:textId="77777777" w:rsidR="00501282" w:rsidRDefault="00501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3C749" w14:textId="28E3C69D" w:rsidR="00373666" w:rsidRDefault="00373666">
    <w:pPr>
      <w:jc w:val="right"/>
    </w:pPr>
    <w:r>
      <w:fldChar w:fldCharType="begin"/>
    </w:r>
    <w:r>
      <w:instrText>PAGE</w:instrText>
    </w:r>
    <w:r>
      <w:fldChar w:fldCharType="separate"/>
    </w:r>
    <w:r w:rsidR="005012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90F59" w14:textId="77777777" w:rsidR="00501282" w:rsidRDefault="00501282">
      <w:pPr>
        <w:rPr>
          <w:sz w:val="12"/>
        </w:rPr>
      </w:pPr>
      <w:r>
        <w:separator/>
      </w:r>
    </w:p>
  </w:footnote>
  <w:footnote w:type="continuationSeparator" w:id="0">
    <w:p w14:paraId="06CB0639" w14:textId="77777777" w:rsidR="00501282" w:rsidRDefault="00501282">
      <w:pPr>
        <w:rPr>
          <w:sz w:val="12"/>
        </w:rPr>
      </w:pPr>
      <w:r>
        <w:continuationSeparator/>
      </w:r>
    </w:p>
  </w:footnote>
  <w:footnote w:id="1">
    <w:p w14:paraId="41C1D47E" w14:textId="41C9710C" w:rsidR="00373666" w:rsidRDefault="00373666">
      <w:pPr>
        <w:spacing w:after="0" w:line="240" w:lineRule="auto"/>
        <w:ind w:left="142" w:hanging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="00013EFD">
        <w:rPr>
          <w:rFonts w:ascii="Arial" w:eastAsia="Arial" w:hAnsi="Arial" w:cs="Arial"/>
          <w:color w:val="000000"/>
          <w:sz w:val="20"/>
          <w:szCs w:val="20"/>
        </w:rPr>
        <w:t>Bolsista do Programa de Iniciação Científica (PIBIC)</w:t>
      </w:r>
      <w:r>
        <w:rPr>
          <w:rFonts w:ascii="Arial" w:eastAsia="Arial" w:hAnsi="Arial" w:cs="Arial"/>
          <w:color w:val="000000"/>
          <w:sz w:val="20"/>
          <w:szCs w:val="20"/>
        </w:rPr>
        <w:t>. Universidade Fede</w:t>
      </w:r>
      <w:r w:rsidR="00013EFD">
        <w:rPr>
          <w:rFonts w:ascii="Arial" w:eastAsia="Arial" w:hAnsi="Arial" w:cs="Arial"/>
          <w:color w:val="000000"/>
          <w:sz w:val="20"/>
          <w:szCs w:val="20"/>
        </w:rPr>
        <w:t>ral do Norte do Tocantins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curso de medicina. </w:t>
      </w:r>
      <w:hyperlink r:id="rId1" w:history="1">
        <w:r w:rsidRPr="00F8472E">
          <w:rPr>
            <w:rStyle w:val="Hyperlink"/>
            <w:rFonts w:ascii="Arial" w:eastAsia="Arial" w:hAnsi="Arial" w:cs="Arial"/>
            <w:sz w:val="20"/>
            <w:szCs w:val="20"/>
          </w:rPr>
          <w:t>sabrina.lima@ufnt.edu.br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2987BF55" w14:textId="4099C0C5" w:rsidR="00013EFD" w:rsidRDefault="00013EFD">
      <w:pPr>
        <w:spacing w:after="0" w:line="240" w:lineRule="auto"/>
        <w:ind w:left="142" w:hanging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2 Professor Doutor da Universidade Federal do Norte do Tocantins, curso de Medicina. </w:t>
      </w:r>
      <w:hyperlink r:id="rId2" w:history="1">
        <w:r w:rsidRPr="00D36A4C">
          <w:rPr>
            <w:rStyle w:val="Hyperlink"/>
            <w:rFonts w:ascii="Arial" w:eastAsia="Arial" w:hAnsi="Arial" w:cs="Arial"/>
            <w:sz w:val="20"/>
            <w:szCs w:val="20"/>
          </w:rPr>
          <w:t>sandro.moron@ufnt.edu.br</w:t>
        </w:r>
      </w:hyperlink>
    </w:p>
    <w:p w14:paraId="15222579" w14:textId="77777777" w:rsidR="00013EFD" w:rsidRDefault="00013EFD">
      <w:pPr>
        <w:spacing w:after="0" w:line="240" w:lineRule="auto"/>
        <w:ind w:left="142" w:hanging="142"/>
        <w:jc w:val="both"/>
        <w:rPr>
          <w:rFonts w:ascii="Arial" w:eastAsia="Arial" w:hAnsi="Arial" w:cs="Arial"/>
          <w:color w:val="000000"/>
          <w:sz w:val="20"/>
          <w:szCs w:val="20"/>
        </w:rPr>
      </w:pPr>
    </w:p>
  </w:footnote>
  <w:footnote w:id="2">
    <w:p w14:paraId="4401B007" w14:textId="0FB22ECE" w:rsidR="00373666" w:rsidRDefault="00373666" w:rsidP="006805B0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2CEDC" w14:textId="4D8EEB3C" w:rsidR="00373666" w:rsidRDefault="00373666">
    <w:r>
      <w:rPr>
        <w:noProof/>
      </w:rPr>
      <w:drawing>
        <wp:anchor distT="0" distB="0" distL="0" distR="0" simplePos="0" relativeHeight="18" behindDoc="0" locked="0" layoutInCell="0" allowOverlap="1" wp14:anchorId="4C9C3833" wp14:editId="7BDF4FEF">
          <wp:simplePos x="0" y="0"/>
          <wp:positionH relativeFrom="margin">
            <wp:align>left</wp:align>
          </wp:positionH>
          <wp:positionV relativeFrom="paragraph">
            <wp:posOffset>-635</wp:posOffset>
          </wp:positionV>
          <wp:extent cx="5715000" cy="1112520"/>
          <wp:effectExtent l="0" t="0" r="0" b="0"/>
          <wp:wrapSquare wrapText="largest"/>
          <wp:docPr id="1" name="Figura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5712D"/>
    <w:multiLevelType w:val="hybridMultilevel"/>
    <w:tmpl w:val="33360334"/>
    <w:lvl w:ilvl="0" w:tplc="D242D65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C4209"/>
    <w:multiLevelType w:val="multilevel"/>
    <w:tmpl w:val="23D8A2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2357C45"/>
    <w:multiLevelType w:val="multilevel"/>
    <w:tmpl w:val="8F84624C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</w:rPr>
    </w:lvl>
  </w:abstractNum>
  <w:abstractNum w:abstractNumId="3" w15:restartNumberingAfterBreak="0">
    <w:nsid w:val="60D80AEE"/>
    <w:multiLevelType w:val="multilevel"/>
    <w:tmpl w:val="D5A258A6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701"/>
    <w:rsid w:val="00013EFD"/>
    <w:rsid w:val="00041E63"/>
    <w:rsid w:val="0005362D"/>
    <w:rsid w:val="00091DA6"/>
    <w:rsid w:val="000A7B5B"/>
    <w:rsid w:val="000B226E"/>
    <w:rsid w:val="00102E45"/>
    <w:rsid w:val="001101A7"/>
    <w:rsid w:val="00127F83"/>
    <w:rsid w:val="00150DAD"/>
    <w:rsid w:val="00195B12"/>
    <w:rsid w:val="001E5B3B"/>
    <w:rsid w:val="00216416"/>
    <w:rsid w:val="002473A4"/>
    <w:rsid w:val="002B4A64"/>
    <w:rsid w:val="00373666"/>
    <w:rsid w:val="003A0196"/>
    <w:rsid w:val="00442784"/>
    <w:rsid w:val="004753F0"/>
    <w:rsid w:val="00486485"/>
    <w:rsid w:val="004A0909"/>
    <w:rsid w:val="004B6616"/>
    <w:rsid w:val="00501282"/>
    <w:rsid w:val="0050736D"/>
    <w:rsid w:val="005E2B4B"/>
    <w:rsid w:val="005F174B"/>
    <w:rsid w:val="00602671"/>
    <w:rsid w:val="00633F65"/>
    <w:rsid w:val="006805B0"/>
    <w:rsid w:val="00696633"/>
    <w:rsid w:val="00780F4A"/>
    <w:rsid w:val="00793AB3"/>
    <w:rsid w:val="0086333D"/>
    <w:rsid w:val="00877FA3"/>
    <w:rsid w:val="008F5C9A"/>
    <w:rsid w:val="00930701"/>
    <w:rsid w:val="009C36AC"/>
    <w:rsid w:val="00A30E90"/>
    <w:rsid w:val="00A821D8"/>
    <w:rsid w:val="00AA5487"/>
    <w:rsid w:val="00AD01F7"/>
    <w:rsid w:val="00AE58FC"/>
    <w:rsid w:val="00BC26BB"/>
    <w:rsid w:val="00C01C78"/>
    <w:rsid w:val="00C35834"/>
    <w:rsid w:val="00C42011"/>
    <w:rsid w:val="00CB336D"/>
    <w:rsid w:val="00CD329B"/>
    <w:rsid w:val="00D54C96"/>
    <w:rsid w:val="00DA068F"/>
    <w:rsid w:val="00DA6D84"/>
    <w:rsid w:val="00DC721F"/>
    <w:rsid w:val="00E233F8"/>
    <w:rsid w:val="00E50797"/>
    <w:rsid w:val="00F176F9"/>
    <w:rsid w:val="00F94B7A"/>
    <w:rsid w:val="00FE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3F99EF"/>
  <w15:docId w15:val="{95398EC1-CB2C-4EBA-BB04-FAABD75A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633"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FC3814"/>
    <w:rPr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FC3814"/>
    <w:rPr>
      <w:vertAlign w:val="superscript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C3814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017C6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0A7B5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4201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4201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BC26BB"/>
    <w:pPr>
      <w:suppressAutoHyphens w:val="0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1">
    <w:name w:val="Grid Table 4 Accent 1"/>
    <w:basedOn w:val="Tabelanormal"/>
    <w:uiPriority w:val="49"/>
    <w:rsid w:val="00AA5487"/>
    <w:pPr>
      <w:suppressAutoHyphens w:val="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7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5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2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7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7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2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7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4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8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3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sandro.moron@ufnt.edu.br" TargetMode="External"/><Relationship Id="rId1" Type="http://schemas.openxmlformats.org/officeDocument/2006/relationships/hyperlink" Target="mailto:sabrina.lima@ufnt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CDAcAD4NZUUv3YLesX1x1TMsyrw==">CgMxLjA4AHIhMVZvRkhmQW51QUg2OHhQeHo5UF91ZWZ3VVh0V3htREJj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2035</Words>
  <Characters>10991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Anônimo</dc:creator>
  <cp:keywords/>
  <dc:description/>
  <cp:lastModifiedBy>Sandro Estevan Moron</cp:lastModifiedBy>
  <cp:revision>4</cp:revision>
  <dcterms:created xsi:type="dcterms:W3CDTF">2024-10-01T20:49:00Z</dcterms:created>
  <dcterms:modified xsi:type="dcterms:W3CDTF">2024-10-14T13:06:00Z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0d9304ce03c5a19dc5f8a2a5e2adfcbcc5d925c49fc1d8d4f23e36ff6c88ff4c</vt:lpwstr>
  </property>
</Properties>
</file>