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vmtsomsal3k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Insuficiência renal aguda: principais causas e condutas iniciais 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Diogo Rodrigues Batista</w:t>
        <w:br w:type="textWrapping"/>
        <w:t xml:space="preserve">Centro Universitário São Lucas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Walter de Almeida Junior</w:t>
        <w:br w:type="textWrapping"/>
        <w:t xml:space="preserve">Afya - São Lucas Porto Velho - Rondônia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Vinícius da Silva</w:t>
        <w:br w:type="textWrapping"/>
        <w:t xml:space="preserve">Centro Universitário São Lucas Porto Velho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Yuri Cesar Dua</w:t>
        <w:br w:type="textWrapping"/>
        <w:t xml:space="preserve">São Lucas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Gaspar Gomes Santana</w:t>
        <w:br w:type="textWrapping"/>
        <w:t xml:space="preserve">Centro Universitário São Lucas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Guilherme Douglas Pereira de Souza</w:t>
        <w:br w:type="textWrapping"/>
        <w:t xml:space="preserve">Centro Universitário São Lucas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 Vinicius Moura Pacifico Monteiro</w:t>
        <w:br w:type="textWrapping"/>
        <w:t xml:space="preserve">Centro Universitário São Lucas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Júlio César Bezerra Cordeiro</w:t>
        <w:br w:type="textWrapping"/>
        <w:t xml:space="preserve">Centro Universitário São Lucas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A insuficiência renal é a condição em que os rins não desempenham suas funções básicas, podendo ser classificada como aguda ou crônica. A insuficiência renal aguda (IRA) é uma condição relativamente comum, especialmente em ambientes hospitalares, como unidades de terapia intensiva (UTIs). Entre os principais fatores de risco, destacam-se populações vulneráveis, como idosos, pacientes com doenças crônicas, indivíduos submetidos a cirurgias de grande porte e aqueles com infecções graves ou sepse. Objetivos: Descrever as principais causas e condutas iniciais da insuficiência renal aguda. Metodologia: Foi realizada uma busca criteriosa na literatura científica, consultando as bases de dados BVS, PubMed e SciELO, utilizando descritores específicos. Foram selecionados artigos publicados até o ano de 2025 que abordam a insuficiência renal aguda. Resultados: De acordo com a Sociedade Brasileira de Nefrologia, as principais causas da insuficiência renal aguda incluem sepse, choque circulatório, desidratação, queimaduras extensas, uso excessivo de diuréticos, obstrução renal, insuficiência cardíaca grave e glomerulonefrite aguda. Estudos indicam que as condutas iniciais devem ser sistemáticas, priorizando a identificação da causa, a estabilização do paciente e a prevenção de complicações. A avaliação inicial deve incluir anamnese detalhada, exame físico e exames laboratoriais para classificar a IRA como pré-renal, renal ou pós-renal. O manejo clínico envolve hidratação adequada em casos de IRA pré-renal, correção de distúrbios eletrolíticos (especialmente hipercalemia), suspensão de fármacos nefrotóxicos e monitorização rigorosa da função renal e do estado clínico do paciente. Nos casos graves ou refratários, deve-se considerar a consulta com um nefrologista e a possibilidade de diálise. Conclusão: Com base no estudo realizado, conclui-se que a insuficiência renal aguda é uma comorbidade frequente em pacientes vulneráveis, sendo essencial o conhecimento de suas principais causas para reduzir sua incidência, especialmente em ambiente hospitalar. Além disso, a compreensão das condutas básicas frente à IRA é fundamental para a promoção do bem-estar da população.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Doença Renal, Condutas, Manejo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DA SILVA, Jamyle Balla; DE SOUZA MELO, Cilene Aparecida; BARROS, Thiago Gonçalves. Injúria renal aguda na Unidade de Terapia Intensiva em um hospital do interior amazônico.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, v. 10, n. 10, p. e447101019178-e447101019178,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ALVAREZ, Jhonny Edgar Narvaez et al. Insuficiencia renal aguda.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Recimundo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, v. 6, n. 4, p. 87-95,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-470523</wp:posOffset>
          </wp:positionH>
          <wp:positionV relativeFrom="paragraph">
            <wp:posOffset>-34912</wp:posOffset>
          </wp:positionV>
          <wp:extent cx="2520950" cy="1129030"/>
          <wp:effectExtent b="0" l="0" r="0" t="0"/>
          <wp:wrapTopAndBottom distB="0" distT="0"/>
          <wp:docPr id="2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QhslbT/yvfN7bjpzZm/qIiJ4sg==">CgMxLjAyDmgudm10c29tc2FsM2t2OAByITFkVUJBZUhJUUVRaXZ2LVJzaDJ4OFIxZl9MYkc0ZlY2Yg==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