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D846" w14:textId="72C508F8" w:rsidR="00D22A2A" w:rsidRPr="00B95068" w:rsidRDefault="00E37F19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E37F19">
        <w:rPr>
          <w:rFonts w:ascii="Times New Roman" w:hAnsi="Times New Roman" w:cs="Times New Roman"/>
          <w:b/>
          <w:bCs/>
          <w:sz w:val="28"/>
          <w:szCs w:val="28"/>
        </w:rPr>
        <w:t xml:space="preserve">CHEMICAL CHARACTERIZATION OF THE LICHEN-SYMBIONT MICROALGA </w:t>
      </w:r>
      <w:r w:rsidRPr="00E37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Asterochloris erici </w:t>
      </w:r>
      <w:r w:rsidRPr="00E37F19">
        <w:rPr>
          <w:rFonts w:ascii="Times New Roman" w:hAnsi="Times New Roman" w:cs="Times New Roman"/>
          <w:b/>
          <w:bCs/>
          <w:sz w:val="28"/>
          <w:szCs w:val="28"/>
        </w:rPr>
        <w:t>AND STUDY OF ITS CYTOSTATIC EFFECT ON THE L929 MURINE FIBROSARCOMA CELL LINE</w:t>
      </w:r>
    </w:p>
    <w:p w14:paraId="2EE6A3BD" w14:textId="6C03C0DE" w:rsidR="00D22A2A" w:rsidRPr="00F61F0B" w:rsidRDefault="00E37F19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F61F0B">
        <w:rPr>
          <w:rFonts w:ascii="Times" w:hAnsi="Times"/>
          <w:sz w:val="24"/>
          <w:szCs w:val="24"/>
          <w:lang w:val="es-ES"/>
        </w:rPr>
        <w:t>Myriam Catalá</w:t>
      </w:r>
      <w:r w:rsidR="00F61F0B"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Concepción Matesanz</w:t>
      </w:r>
      <w:r w:rsidR="00F61F0B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3</w:t>
      </w:r>
      <w:r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Mercedes Villa-Carvajal</w:t>
      </w:r>
      <w:r w:rsidR="00F61F0B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2</w:t>
      </w:r>
      <w:r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Javier Linares</w:t>
      </w:r>
      <w:r w:rsidR="00F61F0B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3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Sonia Morante-Zarcero</w:t>
      </w:r>
      <w:r w:rsidR="00F61F0B"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Isabel Sierra</w:t>
      </w:r>
      <w:r w:rsidR="00F61F0B"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Eva Barreno</w:t>
      </w:r>
      <w:r w:rsidR="00F61F0B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2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M. Teresa Portolés</w:t>
      </w:r>
      <w:r w:rsidR="00F61F0B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3</w:t>
      </w:r>
    </w:p>
    <w:p w14:paraId="612446E0" w14:textId="7A0C51C0" w:rsidR="00D22A2A" w:rsidRPr="00BC484E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s-ES"/>
        </w:rPr>
      </w:pPr>
      <w:r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BC484E">
        <w:rPr>
          <w:rFonts w:ascii="Times" w:hAnsi="Times"/>
          <w:sz w:val="24"/>
          <w:szCs w:val="24"/>
          <w:vertAlign w:val="superscript"/>
          <w:lang w:val="es-ES"/>
        </w:rPr>
        <w:t xml:space="preserve"> </w:t>
      </w:r>
      <w:r w:rsidR="00BC484E" w:rsidRPr="00BC484E">
        <w:rPr>
          <w:rFonts w:ascii="Times" w:hAnsi="Times"/>
          <w:color w:val="000000" w:themeColor="text1"/>
          <w:sz w:val="24"/>
          <w:szCs w:val="24"/>
          <w:lang w:val="es-ES"/>
        </w:rPr>
        <w:t>Universidad Rey Juan Carlos (Spain)</w:t>
      </w:r>
      <w:r w:rsidRPr="00BC484E">
        <w:rPr>
          <w:rFonts w:ascii="Times" w:hAnsi="Times"/>
          <w:color w:val="000000" w:themeColor="text1"/>
          <w:sz w:val="24"/>
          <w:szCs w:val="24"/>
          <w:lang w:val="es-ES"/>
        </w:rPr>
        <w:t>;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F61F0B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 xml:space="preserve">2 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 xml:space="preserve">Universitat de València </w:t>
      </w:r>
      <w:r w:rsidR="00F61F0B" w:rsidRPr="00BC484E">
        <w:rPr>
          <w:rFonts w:ascii="Times" w:hAnsi="Times"/>
          <w:color w:val="000000" w:themeColor="text1"/>
          <w:sz w:val="24"/>
          <w:szCs w:val="24"/>
          <w:lang w:val="es-ES"/>
        </w:rPr>
        <w:t>(Spain)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>;</w:t>
      </w:r>
      <w:r w:rsidRPr="00BC484E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F61F0B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3</w:t>
      </w:r>
      <w:r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r w:rsidR="00BC484E" w:rsidRPr="00BC484E">
        <w:rPr>
          <w:rFonts w:ascii="Times" w:hAnsi="Times"/>
          <w:color w:val="000000" w:themeColor="text1"/>
          <w:sz w:val="24"/>
          <w:szCs w:val="24"/>
          <w:lang w:val="es-ES"/>
        </w:rPr>
        <w:t>Universidad Complutense de Madrid (Spain)</w:t>
      </w:r>
      <w:r w:rsidR="0041562C" w:rsidRPr="00BC484E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="0041562C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*</w:t>
      </w:r>
      <w:r w:rsidR="0041562C" w:rsidRPr="00BC484E">
        <w:rPr>
          <w:rFonts w:ascii="Times" w:hAnsi="Times"/>
          <w:color w:val="000000" w:themeColor="text1"/>
          <w:sz w:val="24"/>
          <w:szCs w:val="24"/>
          <w:lang w:val="es-ES"/>
        </w:rPr>
        <w:t xml:space="preserve">E-mail: </w:t>
      </w:r>
      <w:r w:rsidR="00BC484E">
        <w:rPr>
          <w:rFonts w:ascii="Times" w:hAnsi="Times"/>
          <w:color w:val="000000" w:themeColor="text1"/>
          <w:sz w:val="24"/>
          <w:szCs w:val="24"/>
          <w:lang w:val="es-ES"/>
        </w:rPr>
        <w:t>myriam.catala@urjc.es</w:t>
      </w:r>
    </w:p>
    <w:p w14:paraId="47BFE893" w14:textId="77777777" w:rsidR="00D22A2A" w:rsidRPr="00BC484E" w:rsidRDefault="00D22A2A" w:rsidP="00D22A2A">
      <w:pPr>
        <w:rPr>
          <w:rStyle w:val="Hipervnculo"/>
          <w:rFonts w:ascii="Times" w:hAnsi="Times"/>
          <w:sz w:val="24"/>
          <w:szCs w:val="24"/>
          <w:lang w:val="es-ES"/>
        </w:rPr>
      </w:pPr>
    </w:p>
    <w:p w14:paraId="1348DDA8" w14:textId="1923F2B4" w:rsidR="00260A60" w:rsidRPr="00200EAE" w:rsidRDefault="00BC484E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New resources of food, pharmaceuticals or biotechnological products are needed. The huge biodiversity of aero-terrestrial lichen-symbiont microalgae remains unexplored. Viability of these for human consumption demands the demonstration of the absence of toxic effects. </w:t>
      </w:r>
      <w:r w:rsidRPr="00BC484E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In vitro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biocompatibility of crude homogenates of axenic microalga Asterochloris erici, symbiotic in the lichen </w:t>
      </w:r>
      <w:r w:rsidRPr="00BC484E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Cladonia cristatella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was analyzed after treatment of cultured L929 fibroblasts with different doses of microalgal homogenates. The results show that crude homogenates of </w:t>
      </w:r>
      <w:r w:rsidRPr="00BC484E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A. erici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do not induce fibroblast c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totoxicity but seem to have some cytostatic effect inducing slight cell cycle alterations and intracellular reactive oxygen species increase at the highest dose. Carotenoid analysis demonstrates high content of lutein, a xanthophyll with antioxidant and cytostatic properties </w:t>
      </w:r>
      <w:r w:rsidRPr="00BC484E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in vivo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These findings confirm that </w:t>
      </w:r>
      <w:r w:rsidRPr="00BC484E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Asterochloris erici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can be considered suitable for the development of alimentary or pharmaceutical applications. The cytostatic effects should be further investigated for antitumor agents.</w:t>
      </w:r>
      <w:r w:rsidRPr="00BC484E">
        <w:t xml:space="preserve"> </w:t>
      </w:r>
      <w:r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This study was funded by grants from: the Comunidad de Madrid (project S2009/MAT-1472); the Ministerio de Economía y Competitividad, MINECO and FEDER: MAT2013-43299-R and CGL2016-79158-P); PROMETEO/2017/039 Excellence in Research (Generalitat Valenciana, Spain). M.C. Matesanz is greatly indebted to Spanish Ministry of Education (MEC) for predoctoral fellowship.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267C6"/>
    <w:rsid w:val="000C0216"/>
    <w:rsid w:val="000F146E"/>
    <w:rsid w:val="001178C8"/>
    <w:rsid w:val="00200EAE"/>
    <w:rsid w:val="00215F6C"/>
    <w:rsid w:val="00226CB5"/>
    <w:rsid w:val="002416A1"/>
    <w:rsid w:val="00260A60"/>
    <w:rsid w:val="002F4395"/>
    <w:rsid w:val="003911A7"/>
    <w:rsid w:val="0041562C"/>
    <w:rsid w:val="0062477E"/>
    <w:rsid w:val="006C6BAE"/>
    <w:rsid w:val="00894CF2"/>
    <w:rsid w:val="00B63FA9"/>
    <w:rsid w:val="00BC484E"/>
    <w:rsid w:val="00BD2764"/>
    <w:rsid w:val="00D22A2A"/>
    <w:rsid w:val="00D33B09"/>
    <w:rsid w:val="00E37F19"/>
    <w:rsid w:val="00E74D8F"/>
    <w:rsid w:val="00E7764D"/>
    <w:rsid w:val="00F44110"/>
    <w:rsid w:val="00F61F0B"/>
    <w:rsid w:val="00FB4266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Myriam Catalá Rodríguez</cp:lastModifiedBy>
  <cp:revision>3</cp:revision>
  <dcterms:created xsi:type="dcterms:W3CDTF">2021-04-09T09:47:00Z</dcterms:created>
  <dcterms:modified xsi:type="dcterms:W3CDTF">2021-04-09T10:08:00Z</dcterms:modified>
</cp:coreProperties>
</file>