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both"/>
        <w:rPr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ARÉA TEMÁTICA: INVERTEBRADOS TERRESTRES</w:t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SUBÁREA TEMÁTICA: ECOLOGIA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 EFEITO DO FOGO NA DIVERSIDADE DA ASSEMBLEIA DE ESCORPIÕES DA CAATINGA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Jayrla E. D. Lima¹, André O. Silva-Júnior², Gabriel L. Celante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sz w:val="20"/>
          <w:szCs w:val="20"/>
          <w:rtl w:val="0"/>
        </w:rPr>
        <w:t xml:space="preserve">, Adhan G. Carvalho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sz w:val="20"/>
          <w:szCs w:val="20"/>
          <w:rtl w:val="0"/>
        </w:rPr>
        <w:t xml:space="preserve">; Matheus L. B. Feitosa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sz w:val="20"/>
          <w:szCs w:val="20"/>
          <w:rtl w:val="0"/>
        </w:rPr>
        <w:t xml:space="preserve">; Adeilson M. Silva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5</w:t>
      </w:r>
      <w:r w:rsidDel="00000000" w:rsidR="00000000" w:rsidRPr="00000000">
        <w:rPr>
          <w:sz w:val="20"/>
          <w:szCs w:val="20"/>
          <w:rtl w:val="0"/>
        </w:rPr>
        <w:t xml:space="preserve">; Geraldo J. B. Moura², André F. A. Lira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¹ Universidade Federal de Pernambuco (UFPE), Campus Recife. E-mail: jayrla.lima@ufpe.br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² Universidade Federal Rural de Pernambuco (UFRPE), Campus Recife</w:t>
      </w: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.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E-mail: andre.otavio@ufrpe.br; geraldojbm@gmail.com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sz w:val="12"/>
          <w:szCs w:val="12"/>
          <w:vertAlign w:val="superscript"/>
          <w:rtl w:val="0"/>
        </w:rPr>
        <w:t xml:space="preserve">3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color w:val="000000"/>
          <w:sz w:val="20"/>
          <w:szCs w:val="20"/>
          <w:highlight w:val="white"/>
          <w:rtl w:val="0"/>
        </w:rPr>
        <w:t xml:space="preserve">Universidade Federal do Vale do São Francisco (UNIVASF), Petrolina, Pernambuco, Brasil. E-mail: gabriel_celante@hotmail.com; adhan.univasf@gmail.com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sz w:val="12"/>
          <w:szCs w:val="12"/>
          <w:highlight w:val="white"/>
          <w:vertAlign w:val="superscript"/>
          <w:rtl w:val="0"/>
        </w:rPr>
        <w:t xml:space="preserve">4</w:t>
      </w:r>
      <w:r w:rsidDel="00000000" w:rsidR="00000000" w:rsidRPr="00000000">
        <w:rPr>
          <w:color w:val="000000"/>
          <w:sz w:val="20"/>
          <w:szCs w:val="20"/>
          <w:highlight w:val="white"/>
          <w:vertAlign w:val="superscript"/>
          <w:rtl w:val="0"/>
        </w:rPr>
        <w:t xml:space="preserve">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Universidade Federal da Paraíba, Areia, Paraíba, Brazil. E-mail: Matheus.l.b.feitosa@gmail.com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sz w:val="12"/>
          <w:szCs w:val="12"/>
          <w:vertAlign w:val="superscript"/>
          <w:rtl w:val="0"/>
        </w:rPr>
        <w:t xml:space="preserve">5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Núcleo de Ecologia e Monitoramento Ambiental/UNIVASF, Petrolina, Pernambuco, Brasil. E-mail: adeilsonjamaica@hotmail.com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color w:val="000000"/>
          <w:sz w:val="12"/>
          <w:szCs w:val="12"/>
          <w:vertAlign w:val="superscript"/>
          <w:rtl w:val="0"/>
        </w:rPr>
        <w:t xml:space="preserve">6</w:t>
      </w:r>
      <w:r w:rsidDel="00000000" w:rsidR="00000000" w:rsidRPr="00000000">
        <w:rPr>
          <w:color w:val="000000"/>
          <w:sz w:val="20"/>
          <w:szCs w:val="20"/>
          <w:vertAlign w:val="superscript"/>
          <w:rtl w:val="0"/>
        </w:rPr>
        <w:t xml:space="preserve">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Universidade Federal de Campina Grande, Campus Cuité, Cuité, Paraíba, Brasil. E-mail: andref.lira@gmail.com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INTRODUÇÃO</w:t>
      </w:r>
    </w:p>
    <w:p w:rsidR="00000000" w:rsidDel="00000000" w:rsidP="00000000" w:rsidRDefault="00000000" w:rsidRPr="00000000" w14:paraId="00000011">
      <w:pPr>
        <w:spacing w:line="240" w:lineRule="auto"/>
        <w:ind w:firstLine="56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Os incêndios causados pelo ser humano promovem alterações nas condições ambientais, na biomassa, na diversidade de espécies e no equilíbrio dos ecossistemas (Peterson et al., 1998; Bengtsson et al., 2000). Por sua vez, esses distúrbios antrópicos são capazes de modificar o balanço competitivo entre as espécies, o que possibilita uma nova distribuição de dominância entre elas (Begon et al., 1999). Os efeitos do fogo podem ser acentuados em ecossistemas áridos e semiáridos como a Caatinga (</w:t>
      </w:r>
      <w:r w:rsidDel="00000000" w:rsidR="00000000" w:rsidRPr="00000000">
        <w:rPr>
          <w:sz w:val="20"/>
          <w:szCs w:val="20"/>
          <w:rtl w:val="0"/>
        </w:rPr>
        <w:t xml:space="preserve">Mariano et al., 2018). Esse ecossistema totalmente inserido no Brasil, representa o maior bloco contínuo de Florestas Tropicais Sazonalmente Secas, onde a sua principal característica é o baixo e irregular regime pluviométrico (Leal, 2005; MMA, 2007).</w:t>
      </w:r>
    </w:p>
    <w:p w:rsidR="00000000" w:rsidDel="00000000" w:rsidP="00000000" w:rsidRDefault="00000000" w:rsidRPr="00000000" w14:paraId="00000012">
      <w:pPr>
        <w:spacing w:line="240" w:lineRule="auto"/>
        <w:ind w:firstLine="56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Os artrópodes podem sofrer uma grande redução em suas populações, devido ao calor intenso das chamas ou às alterações nas condições ambientais causadas pela redução do extrato vegetal (</w:t>
      </w:r>
      <w:r w:rsidDel="00000000" w:rsidR="00000000" w:rsidRPr="00000000">
        <w:rPr>
          <w:sz w:val="20"/>
          <w:szCs w:val="20"/>
          <w:rtl w:val="0"/>
        </w:rPr>
        <w:t xml:space="preserve">York, 1999). Posteriormente, esses animais enfrentam </w:t>
      </w:r>
      <w:r w:rsidDel="00000000" w:rsidR="00000000" w:rsidRPr="00000000">
        <w:rPr>
          <w:sz w:val="20"/>
          <w:szCs w:val="20"/>
          <w:rtl w:val="0"/>
        </w:rPr>
        <w:t xml:space="preserve">dificuldades durante o período pós-fogo</w:t>
      </w:r>
      <w:r w:rsidDel="00000000" w:rsidR="00000000" w:rsidRPr="00000000">
        <w:rPr>
          <w:sz w:val="20"/>
          <w:szCs w:val="20"/>
          <w:rtl w:val="0"/>
        </w:rPr>
        <w:t xml:space="preserve">, como por exemplo, a alteração estrutural da vegetação e a destruição da camada de serrapilheira (Ivanauskas, 200</w:t>
      </w:r>
      <w:r w:rsidDel="00000000" w:rsidR="00000000" w:rsidRPr="00000000">
        <w:rPr>
          <w:sz w:val="20"/>
          <w:szCs w:val="20"/>
          <w:rtl w:val="0"/>
        </w:rPr>
        <w:t xml:space="preserve">3; Silveira, 2008). A perda de artrópodes pode resultar na redução de diversos serviços ecossistêmicos realizados por estes animais, como a ciclagem de nutrientes, polinização e controle biológico (Romão, 2008; Marques et al., 2014; Silveira, 2008).</w:t>
      </w:r>
    </w:p>
    <w:p w:rsidR="00000000" w:rsidDel="00000000" w:rsidP="00000000" w:rsidRDefault="00000000" w:rsidRPr="00000000" w14:paraId="00000013">
      <w:pPr>
        <w:spacing w:line="240" w:lineRule="auto"/>
        <w:ind w:firstLine="56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Dentre os artrópodes, encontram-se os escorpiões, um importante grupo de predadores generalista capaz de exercer influência no fluxo dos ecossistemas onde habitam (Ruppert e Barnes, 1996; Romão, 2008). Esses animais apresentam uma elevada especificidade por micro-habitat e sensibilidade a alterações no ambiente (Lourenço e Eickstedt, 2009) tornando-se excelentes modelos para estudos ecológicos e bioindicadores ambientais (Brazil e Porto, 2011). Deste modo, o objetivo do presente estudo foi avaliar o impacto do fogo na diversidade de escorpiões em uma área de Caatinga.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MATERIAL E MÉTODOS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O trabalho de campo foi realizado em</w:t>
      </w:r>
      <w:r w:rsidDel="00000000" w:rsidR="00000000" w:rsidRPr="00000000">
        <w:rPr>
          <w:sz w:val="20"/>
          <w:szCs w:val="20"/>
          <w:rtl w:val="0"/>
        </w:rPr>
        <w:t xml:space="preserve"> Janeiro de 2023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 em uma área de Caatinga hiperxerófila no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campus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 da Universidade Federal do Vale do São Francisco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(W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40º 32’ 49.379’’; S 9º 19’ 51.495’’),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município de Petrolina, Pernambuco, Brasil.  As amostragens foram realizadas em duas áreas distantes entre si por </w:t>
      </w:r>
      <w:r w:rsidDel="00000000" w:rsidR="00000000" w:rsidRPr="00000000">
        <w:rPr>
          <w:sz w:val="20"/>
          <w:szCs w:val="20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km: Queimada e Preservada. Durante </w:t>
      </w:r>
      <w:r w:rsidDel="00000000" w:rsidR="00000000" w:rsidRPr="00000000">
        <w:rPr>
          <w:sz w:val="20"/>
          <w:szCs w:val="20"/>
          <w:rtl w:val="0"/>
        </w:rPr>
        <w:t xml:space="preserve">outubro de 2022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 foi registrado um incêndio com duração de </w:t>
      </w:r>
      <w:r w:rsidDel="00000000" w:rsidR="00000000" w:rsidRPr="00000000">
        <w:rPr>
          <w:sz w:val="20"/>
          <w:szCs w:val="20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 dias na área de estudo que queimou </w:t>
      </w:r>
      <w:r w:rsidDel="00000000" w:rsidR="00000000" w:rsidRPr="00000000">
        <w:rPr>
          <w:sz w:val="20"/>
          <w:szCs w:val="20"/>
          <w:rtl w:val="0"/>
        </w:rPr>
        <w:t xml:space="preserve">81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 hec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tares de vegetação natural. Em cada área, foram estabelecidos 15 transectos (10 m x 30 m), totalizando 4.500 m² de amostragem. Os transectos foram percorridos durante o período noturno (19:00 às 22:00 h) por 1 hora por uma dupla de colet</w:t>
      </w:r>
      <w:r w:rsidDel="00000000" w:rsidR="00000000" w:rsidRPr="00000000">
        <w:rPr>
          <w:sz w:val="20"/>
          <w:szCs w:val="20"/>
          <w:rtl w:val="0"/>
        </w:rPr>
        <w:t xml:space="preserve">ores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munidos de lanternas de mão ultravioleta. Todos os animais coletados foram preservados em álcool 70%, identificados através da chave taxonômica de Lourenço (2002). Os indivíduos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voucher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foram depositados na coleção de aracnologia da Universidade Federal Rural de Pernambuco. O efeito do fogo sobre a riqueza, </w:t>
      </w:r>
      <w:r w:rsidDel="00000000" w:rsidR="00000000" w:rsidRPr="00000000">
        <w:rPr>
          <w:sz w:val="20"/>
          <w:szCs w:val="20"/>
          <w:rtl w:val="0"/>
        </w:rPr>
        <w:t xml:space="preserve">abundância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 composição de escorpiões foi avaliado por meio d</w:t>
      </w:r>
      <w:r w:rsidDel="00000000" w:rsidR="00000000" w:rsidRPr="00000000">
        <w:rPr>
          <w:sz w:val="20"/>
          <w:szCs w:val="20"/>
          <w:rtl w:val="0"/>
        </w:rPr>
        <w:t xml:space="preserve">e modelos lineares generalizados (GLM), adotando a distribuição Gaussiana. Para a mensuração, foi criado um GLM para cada parâmetro de diversidade com o tipo de habitat como fator fixo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Para a composição, realizamos um </w:t>
      </w:r>
      <w:r w:rsidDel="00000000" w:rsidR="00000000" w:rsidRPr="00000000">
        <w:rPr>
          <w:sz w:val="20"/>
          <w:szCs w:val="20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scalonamento Multi</w:t>
      </w:r>
      <w:r w:rsidDel="00000000" w:rsidR="00000000" w:rsidRPr="00000000">
        <w:rPr>
          <w:sz w:val="20"/>
          <w:szCs w:val="20"/>
          <w:rtl w:val="0"/>
        </w:rPr>
        <w:t xml:space="preserve">dimensional Não Métrico (NMDS), em sequência realizamos o teste ANOSIM para identificar se existe diferença estatisticamente significativa entre os grupos da amostra.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Por </w:t>
      </w:r>
      <w:r w:rsidDel="00000000" w:rsidR="00000000" w:rsidRPr="00000000">
        <w:rPr>
          <w:sz w:val="20"/>
          <w:szCs w:val="20"/>
          <w:rtl w:val="0"/>
        </w:rPr>
        <w:t xml:space="preserve">fim, a dominância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das espécies em cada área amostrada foi calculada utilizando o índice de Palissa et al. (1979).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RESULTADOS E DISCUSSÃO</w:t>
      </w:r>
    </w:p>
    <w:p w:rsidR="00000000" w:rsidDel="00000000" w:rsidP="00000000" w:rsidRDefault="00000000" w:rsidRPr="00000000" w14:paraId="00000019">
      <w:pPr>
        <w:spacing w:line="240" w:lineRule="auto"/>
        <w:ind w:firstLine="56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Foram coletados um total de 211 escorpiões, distribuídos em três espécies: </w:t>
      </w:r>
      <w:r w:rsidDel="00000000" w:rsidR="00000000" w:rsidRPr="00000000">
        <w:rPr>
          <w:i w:val="1"/>
          <w:sz w:val="20"/>
          <w:szCs w:val="20"/>
          <w:rtl w:val="0"/>
        </w:rPr>
        <w:t xml:space="preserve">Jaguajir rochae</w:t>
      </w:r>
      <w:r w:rsidDel="00000000" w:rsidR="00000000" w:rsidRPr="00000000">
        <w:rPr>
          <w:sz w:val="20"/>
          <w:szCs w:val="20"/>
          <w:rtl w:val="0"/>
        </w:rPr>
        <w:t xml:space="preserve"> (Borelli, 1910) (n=84), </w:t>
      </w:r>
      <w:r w:rsidDel="00000000" w:rsidR="00000000" w:rsidRPr="00000000">
        <w:rPr>
          <w:i w:val="1"/>
          <w:sz w:val="20"/>
          <w:szCs w:val="20"/>
          <w:rtl w:val="0"/>
        </w:rPr>
        <w:t xml:space="preserve">Bothriurus rochai </w:t>
      </w:r>
      <w:r w:rsidDel="00000000" w:rsidR="00000000" w:rsidRPr="00000000">
        <w:rPr>
          <w:sz w:val="20"/>
          <w:szCs w:val="20"/>
          <w:rtl w:val="0"/>
        </w:rPr>
        <w:t xml:space="preserve">Mello-Leitão,1993 (n=90) e </w:t>
      </w:r>
      <w:r w:rsidDel="00000000" w:rsidR="00000000" w:rsidRPr="00000000">
        <w:rPr>
          <w:i w:val="1"/>
          <w:sz w:val="20"/>
          <w:szCs w:val="20"/>
          <w:rtl w:val="0"/>
        </w:rPr>
        <w:t xml:space="preserve">Physoctonus debilis</w:t>
      </w:r>
      <w:r w:rsidDel="00000000" w:rsidR="00000000" w:rsidRPr="00000000">
        <w:rPr>
          <w:sz w:val="20"/>
          <w:szCs w:val="20"/>
          <w:rtl w:val="0"/>
        </w:rPr>
        <w:t xml:space="preserve"> (C. L. Koch, 1840) (n=</w:t>
      </w:r>
      <w:r w:rsidDel="00000000" w:rsidR="00000000" w:rsidRPr="00000000">
        <w:rPr>
          <w:sz w:val="20"/>
          <w:szCs w:val="20"/>
          <w:rtl w:val="0"/>
        </w:rPr>
        <w:t xml:space="preserve">3</w:t>
      </w:r>
      <w:r w:rsidDel="00000000" w:rsidR="00000000" w:rsidRPr="00000000">
        <w:rPr>
          <w:sz w:val="20"/>
          <w:szCs w:val="20"/>
          <w:rtl w:val="0"/>
        </w:rPr>
        <w:t xml:space="preserve">7). Na área conservada, foram coletados 120 escorpiões, com </w:t>
      </w:r>
      <w:r w:rsidDel="00000000" w:rsidR="00000000" w:rsidRPr="00000000">
        <w:rPr>
          <w:i w:val="1"/>
          <w:sz w:val="20"/>
          <w:szCs w:val="20"/>
          <w:rtl w:val="0"/>
        </w:rPr>
        <w:t xml:space="preserve">B. rochai</w:t>
      </w:r>
      <w:r w:rsidDel="00000000" w:rsidR="00000000" w:rsidRPr="00000000">
        <w:rPr>
          <w:sz w:val="20"/>
          <w:szCs w:val="20"/>
          <w:rtl w:val="0"/>
        </w:rPr>
        <w:t xml:space="preserve"> sendo a espécie mais abundante (n=53), seguida por </w:t>
      </w:r>
      <w:r w:rsidDel="00000000" w:rsidR="00000000" w:rsidRPr="00000000">
        <w:rPr>
          <w:i w:val="1"/>
          <w:sz w:val="20"/>
          <w:szCs w:val="20"/>
          <w:rtl w:val="0"/>
        </w:rPr>
        <w:t xml:space="preserve">P. debilis</w:t>
      </w:r>
      <w:r w:rsidDel="00000000" w:rsidR="00000000" w:rsidRPr="00000000">
        <w:rPr>
          <w:sz w:val="20"/>
          <w:szCs w:val="20"/>
          <w:rtl w:val="0"/>
        </w:rPr>
        <w:t xml:space="preserve"> (n=35) e </w:t>
      </w:r>
      <w:r w:rsidDel="00000000" w:rsidR="00000000" w:rsidRPr="00000000">
        <w:rPr>
          <w:i w:val="1"/>
          <w:sz w:val="20"/>
          <w:szCs w:val="20"/>
          <w:rtl w:val="0"/>
        </w:rPr>
        <w:t xml:space="preserve">J. rochae</w:t>
      </w:r>
      <w:r w:rsidDel="00000000" w:rsidR="00000000" w:rsidRPr="00000000">
        <w:rPr>
          <w:sz w:val="20"/>
          <w:szCs w:val="20"/>
          <w:rtl w:val="0"/>
        </w:rPr>
        <w:t xml:space="preserve"> (n=32). Por outro lado, na área queimada, foram coletados 91 escorpiões, sendo </w:t>
      </w:r>
      <w:r w:rsidDel="00000000" w:rsidR="00000000" w:rsidRPr="00000000">
        <w:rPr>
          <w:i w:val="1"/>
          <w:sz w:val="20"/>
          <w:szCs w:val="20"/>
          <w:rtl w:val="0"/>
        </w:rPr>
        <w:t xml:space="preserve">J. rochae</w:t>
      </w:r>
      <w:r w:rsidDel="00000000" w:rsidR="00000000" w:rsidRPr="00000000">
        <w:rPr>
          <w:sz w:val="20"/>
          <w:szCs w:val="20"/>
          <w:rtl w:val="0"/>
        </w:rPr>
        <w:t xml:space="preserve"> a espécie mais abundante (n=52), seguida por </w:t>
      </w:r>
      <w:r w:rsidDel="00000000" w:rsidR="00000000" w:rsidRPr="00000000">
        <w:rPr>
          <w:i w:val="1"/>
          <w:sz w:val="20"/>
          <w:szCs w:val="20"/>
          <w:rtl w:val="0"/>
        </w:rPr>
        <w:t xml:space="preserve">B. rochai</w:t>
      </w:r>
      <w:r w:rsidDel="00000000" w:rsidR="00000000" w:rsidRPr="00000000">
        <w:rPr>
          <w:sz w:val="20"/>
          <w:szCs w:val="20"/>
          <w:rtl w:val="0"/>
        </w:rPr>
        <w:t xml:space="preserve"> (n=37) e </w:t>
      </w:r>
      <w:r w:rsidDel="00000000" w:rsidR="00000000" w:rsidRPr="00000000">
        <w:rPr>
          <w:i w:val="1"/>
          <w:sz w:val="20"/>
          <w:szCs w:val="20"/>
          <w:rtl w:val="0"/>
        </w:rPr>
        <w:t xml:space="preserve">P. debilis</w:t>
      </w:r>
      <w:r w:rsidDel="00000000" w:rsidR="00000000" w:rsidRPr="00000000">
        <w:rPr>
          <w:sz w:val="20"/>
          <w:szCs w:val="20"/>
          <w:rtl w:val="0"/>
        </w:rPr>
        <w:t xml:space="preserve"> (n=2). Não foram encontradas diferenças significativas entre as áreas para os seguintes parâmetros de diversidade: riqueza (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Std. Error= 0,06673; t= 1.657; Pr= 0,109</w:t>
      </w:r>
      <w:r w:rsidDel="00000000" w:rsidR="00000000" w:rsidRPr="00000000">
        <w:rPr>
          <w:sz w:val="20"/>
          <w:szCs w:val="20"/>
          <w:rtl w:val="0"/>
        </w:rPr>
        <w:t xml:space="preserve">), abundância (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Std. Error= 0,1501; t= 0,604; Pr= 0,551</w:t>
      </w:r>
      <w:r w:rsidDel="00000000" w:rsidR="00000000" w:rsidRPr="00000000">
        <w:rPr>
          <w:sz w:val="20"/>
          <w:szCs w:val="20"/>
          <w:rtl w:val="0"/>
        </w:rPr>
        <w:t xml:space="preserve">) e composição (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R:-0,02485; P=0.736</w:t>
      </w:r>
      <w:r w:rsidDel="00000000" w:rsidR="00000000" w:rsidRPr="00000000">
        <w:rPr>
          <w:sz w:val="20"/>
          <w:szCs w:val="20"/>
          <w:rtl w:val="0"/>
        </w:rPr>
        <w:t xml:space="preserve">)</w:t>
      </w:r>
      <w:r w:rsidDel="00000000" w:rsidR="00000000" w:rsidRPr="00000000">
        <w:rPr>
          <w:sz w:val="20"/>
          <w:szCs w:val="20"/>
          <w:rtl w:val="0"/>
        </w:rPr>
        <w:t xml:space="preserve">.</w:t>
      </w:r>
      <w:r w:rsidDel="00000000" w:rsidR="00000000" w:rsidRPr="00000000">
        <w:rPr>
          <w:sz w:val="20"/>
          <w:szCs w:val="20"/>
          <w:rtl w:val="0"/>
        </w:rPr>
        <w:t xml:space="preserve"> Contudo, a dominância das espécies de escorpião foi diferente entre as áreas conservada e queimada. Na área conservada, todas as espécies foram classificadas como eudominantes, contudo na área queimada </w:t>
      </w:r>
      <w:r w:rsidDel="00000000" w:rsidR="00000000" w:rsidRPr="00000000">
        <w:rPr>
          <w:i w:val="1"/>
          <w:sz w:val="20"/>
          <w:szCs w:val="20"/>
          <w:rtl w:val="0"/>
        </w:rPr>
        <w:t xml:space="preserve">P. debilis</w:t>
      </w:r>
      <w:r w:rsidDel="00000000" w:rsidR="00000000" w:rsidRPr="00000000">
        <w:rPr>
          <w:sz w:val="20"/>
          <w:szCs w:val="20"/>
          <w:rtl w:val="0"/>
        </w:rPr>
        <w:t xml:space="preserve"> foi classificado como recessivo.</w:t>
      </w:r>
    </w:p>
    <w:p w:rsidR="00000000" w:rsidDel="00000000" w:rsidP="00000000" w:rsidRDefault="00000000" w:rsidRPr="00000000" w14:paraId="0000001A">
      <w:pPr>
        <w:spacing w:line="240" w:lineRule="auto"/>
        <w:ind w:firstLine="56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Os nossos resultados sugerem que a assembléia de escorpiões na Caatinga apresenta um elevado grau de resiliência, sendo capaz de ocupar áreas queimadas em um curto intervalo de tempo (2meses). Estudos anteriores apontam que </w:t>
      </w:r>
      <w:r w:rsidDel="00000000" w:rsidR="00000000" w:rsidRPr="00000000">
        <w:rPr>
          <w:i w:val="1"/>
          <w:sz w:val="20"/>
          <w:szCs w:val="20"/>
          <w:rtl w:val="0"/>
        </w:rPr>
        <w:t xml:space="preserve">J. rochae</w:t>
      </w:r>
      <w:r w:rsidDel="00000000" w:rsidR="00000000" w:rsidRPr="00000000">
        <w:rPr>
          <w:sz w:val="20"/>
          <w:szCs w:val="20"/>
          <w:rtl w:val="0"/>
        </w:rPr>
        <w:t xml:space="preserve"> e </w:t>
      </w:r>
      <w:r w:rsidDel="00000000" w:rsidR="00000000" w:rsidRPr="00000000">
        <w:rPr>
          <w:i w:val="1"/>
          <w:sz w:val="20"/>
          <w:szCs w:val="20"/>
          <w:rtl w:val="0"/>
        </w:rPr>
        <w:t xml:space="preserve">B. rochai</w:t>
      </w:r>
      <w:r w:rsidDel="00000000" w:rsidR="00000000" w:rsidRPr="00000000">
        <w:rPr>
          <w:sz w:val="20"/>
          <w:szCs w:val="20"/>
          <w:rtl w:val="0"/>
        </w:rPr>
        <w:t xml:space="preserve"> são espécies dominantes da assembleia de escorpiões da Caatinga e possuem considerável plasticidade ecológica, podendo colonizar vários microhabitats (Lira et al. 2018). Tais características permitem que essas espécies ocupem com sucesso locais impactados (</w:t>
      </w:r>
      <w:r w:rsidDel="00000000" w:rsidR="00000000" w:rsidRPr="00000000">
        <w:rPr>
          <w:sz w:val="20"/>
          <w:szCs w:val="20"/>
          <w:rtl w:val="0"/>
        </w:rPr>
        <w:t xml:space="preserve">Foerster et al. 2020</w:t>
      </w:r>
      <w:r w:rsidDel="00000000" w:rsidR="00000000" w:rsidRPr="00000000">
        <w:rPr>
          <w:sz w:val="20"/>
          <w:szCs w:val="20"/>
          <w:rtl w:val="0"/>
        </w:rPr>
        <w:t xml:space="preserve">) como a área queimada no presente estudo. Em contraste, </w:t>
      </w:r>
      <w:r w:rsidDel="00000000" w:rsidR="00000000" w:rsidRPr="00000000">
        <w:rPr>
          <w:i w:val="1"/>
          <w:sz w:val="20"/>
          <w:szCs w:val="20"/>
          <w:rtl w:val="0"/>
        </w:rPr>
        <w:t xml:space="preserve">P. debilis</w:t>
      </w:r>
      <w:r w:rsidDel="00000000" w:rsidR="00000000" w:rsidRPr="00000000">
        <w:rPr>
          <w:sz w:val="20"/>
          <w:szCs w:val="20"/>
          <w:rtl w:val="0"/>
        </w:rPr>
        <w:t xml:space="preserve"> é considerado como uma espécie microhabitat-especialista, sendo encontrada majoritariamente na vegetação (Lira et al. 2018). Apesar disto, foram encontrados </w:t>
      </w:r>
      <w:r w:rsidDel="00000000" w:rsidR="00000000" w:rsidRPr="00000000">
        <w:rPr>
          <w:i w:val="1"/>
          <w:sz w:val="20"/>
          <w:szCs w:val="20"/>
          <w:rtl w:val="0"/>
        </w:rPr>
        <w:t xml:space="preserve">P. debilis</w:t>
      </w:r>
      <w:r w:rsidDel="00000000" w:rsidR="00000000" w:rsidRPr="00000000">
        <w:rPr>
          <w:sz w:val="20"/>
          <w:szCs w:val="20"/>
          <w:rtl w:val="0"/>
        </w:rPr>
        <w:t xml:space="preserve"> na área queimada, contudo em menor abundância, sugerindo que esta espécie coloniza novas áreas mais lentamente do que </w:t>
      </w:r>
      <w:r w:rsidDel="00000000" w:rsidR="00000000" w:rsidRPr="00000000">
        <w:rPr>
          <w:i w:val="1"/>
          <w:sz w:val="20"/>
          <w:szCs w:val="20"/>
          <w:rtl w:val="0"/>
        </w:rPr>
        <w:t xml:space="preserve">J. rochae</w:t>
      </w:r>
      <w:r w:rsidDel="00000000" w:rsidR="00000000" w:rsidRPr="00000000">
        <w:rPr>
          <w:sz w:val="20"/>
          <w:szCs w:val="20"/>
          <w:rtl w:val="0"/>
        </w:rPr>
        <w:t xml:space="preserve"> e </w:t>
      </w:r>
      <w:r w:rsidDel="00000000" w:rsidR="00000000" w:rsidRPr="00000000">
        <w:rPr>
          <w:i w:val="1"/>
          <w:sz w:val="20"/>
          <w:szCs w:val="20"/>
          <w:rtl w:val="0"/>
        </w:rPr>
        <w:t xml:space="preserve">B. rochai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CONCLUSÕES</w:t>
      </w:r>
    </w:p>
    <w:p w:rsidR="00000000" w:rsidDel="00000000" w:rsidP="00000000" w:rsidRDefault="00000000" w:rsidRPr="00000000" w14:paraId="0000001D">
      <w:pPr>
        <w:spacing w:line="240" w:lineRule="auto"/>
        <w:ind w:firstLine="56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Em resumo, os nossos resultados sugerem que a fauna de escorpiões da Caatinga apresenta uma elevada resiliência, sendo capaz de colonizar uma área queimada em pouco tempo (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2 </w:t>
      </w:r>
      <w:r w:rsidDel="00000000" w:rsidR="00000000" w:rsidRPr="00000000">
        <w:rPr>
          <w:sz w:val="20"/>
          <w:szCs w:val="20"/>
          <w:rtl w:val="0"/>
        </w:rPr>
        <w:t xml:space="preserve">meses). Contudo, as espécies apresentam diferentes taxas de colonização com as microhabitat-generalista colonizando mais rapidamente do que aquelas consideradas como microhabitat-especialista.</w:t>
      </w:r>
    </w:p>
    <w:p w:rsidR="00000000" w:rsidDel="00000000" w:rsidP="00000000" w:rsidRDefault="00000000" w:rsidRPr="00000000" w14:paraId="0000001E">
      <w:pPr>
        <w:spacing w:line="240" w:lineRule="auto"/>
        <w:ind w:firstLine="567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REFERÊNCIAS </w:t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Begon, M.; Harper, J.L.; Townsend, C.R. 1999. Ecology. Blackwell: Berlin, 945 p.</w:t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Bengtsson, J.; Nilsson, S.G.; Franc, A.; Menozzi, P. 2000. Biodiversity, disturbance, ecosystem function and management of European forests. Forest Ecology and Management, 132: 39-50.</w:t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Brazil, T; and Porto, T. Os escorpiões. Edufba, 2011.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Ivanauskas, N. M.; Monteiro, R. &amp; Rodrigues, R. R. 2003. Alterations following a fire in a forest community of Alto Xingu. Forest Ecology and Management, 184: 239-50.</w:t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Foerster, S. Í. A., de Araújo Lira, A. F., &amp; de Almeida, C. G. 2020. Vegetation structure as the main source of variability in scorpion assemblages at small spatial scales and further considerations for the conservation of Caatinga landscapes. Neotropical Biology and Conservation, 15(4), 533-550.</w:t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Leal, I. R., Da Silva, J. M. C., Tabarelli, M. &amp; Lacher, T. E. </w:t>
      </w:r>
      <w:r w:rsidDel="00000000" w:rsidR="00000000" w:rsidRPr="00000000">
        <w:rPr>
          <w:sz w:val="20"/>
          <w:szCs w:val="20"/>
          <w:rtl w:val="0"/>
        </w:rPr>
        <w:t xml:space="preserve">.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2005</w:t>
      </w:r>
      <w:r w:rsidDel="00000000" w:rsidR="00000000" w:rsidRPr="00000000">
        <w:rPr>
          <w:sz w:val="20"/>
          <w:szCs w:val="20"/>
          <w:rtl w:val="0"/>
        </w:rPr>
        <w:t xml:space="preserve">.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Changing the Course of Biodiversity Conservation in the Caatinga of Northeastern Brazil. Conservation Biology 19(3): 701-706. </w:t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Lira, A. F. A.; DeSouza, A. M.; Albuquerque, C. M. R. 2018. Environmental variation and seasonal changes as determinants of the spatial distribution of scorpions (Arachnida: Scorpiones) in Neotropical forests. Canadian Journal of Zoology, v. 96, n. 9, p. 963-972.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Lourenço, W.R; and Eickstedt V.R. Escorpiões de Importância Médica. 2009. In: C</w:t>
      </w:r>
      <w:r w:rsidDel="00000000" w:rsidR="00000000" w:rsidRPr="00000000">
        <w:rPr>
          <w:sz w:val="20"/>
          <w:szCs w:val="20"/>
          <w:rtl w:val="0"/>
        </w:rPr>
        <w:t xml:space="preserve">ardoso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 J.L.C. et al. Animais peçonhentos no Brasil: biologia, clínica e terapêutica dos acidentes. São Paulo: Sarvier, p. 198-213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Lourenço WR (2002) Scorpions of Brazil. Les Édition de I’lf, Paris.</w:t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MMA – Ministério do Meio Ambiente. Santana, M. O. (Org). Atlas das áreas susceptíveis à desertificação do Brasil. Brasília: MMA. 2007.</w:t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Mariano, Denis A. et al. 2018. Use of remote sensing indicators to assess effects of drought and human induced land degradation on ecosystem health in Northeastern Brazil. Remote Sensing of</w:t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Environment, New York, v. 213, p. 129-143.</w:t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Marques, D. M. et al. 2014. Macrofauna edáfica em diferentes coberturas vegetais. Bioscience Journal, Uberlândia, v. 30, n. 5, p. 1588-1597.</w:t>
      </w:r>
    </w:p>
    <w:p w:rsidR="00000000" w:rsidDel="00000000" w:rsidP="00000000" w:rsidRDefault="00000000" w:rsidRPr="00000000" w14:paraId="0000002D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Palissa, A.E., Wiedenroth, M., and Klimt, K. 1979. Anleitung zum ökologische</w:t>
      </w:r>
    </w:p>
    <w:p w:rsidR="00000000" w:rsidDel="00000000" w:rsidP="00000000" w:rsidRDefault="00000000" w:rsidRPr="00000000" w14:paraId="0000002E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Geländepraktikum. Wissenschaftliches Zentrum der Pädagogischen Hochschule Potsdam, Potsdam, Germany.</w:t>
      </w:r>
    </w:p>
    <w:p w:rsidR="00000000" w:rsidDel="00000000" w:rsidP="00000000" w:rsidRDefault="00000000" w:rsidRPr="00000000" w14:paraId="0000002F">
      <w:pPr>
        <w:spacing w:line="24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Peterson, G.; Allen, C.R.; Holling, C.S. 1998. Ecological resilience, biodiversity, and scale.</w:t>
      </w:r>
    </w:p>
    <w:p w:rsidR="00000000" w:rsidDel="00000000" w:rsidP="00000000" w:rsidRDefault="00000000" w:rsidRPr="00000000" w14:paraId="00000030">
      <w:pPr>
        <w:spacing w:line="24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Ecosystems, 1: 6-18.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Romão, J. A. 2008.Araneofauna (Arachnida, Araneae) de Solo em Fragmento de Caatinga e de Mata de Cipó, no Município de Lafaiete Coutinho, Bahia, Brasil. 102p. Dissertação (Mestrado) - Universidade Estadual de Santa Cruz. Santa Cruz – BA. 2008.</w:t>
      </w:r>
    </w:p>
    <w:p w:rsidR="00000000" w:rsidDel="00000000" w:rsidP="00000000" w:rsidRDefault="00000000" w:rsidRPr="00000000" w14:paraId="00000032">
      <w:pPr>
        <w:spacing w:line="24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Ruppert, E.E; and Barnes, R.D. Zoologia dos Invertebrados. 1996. São Paulo, Editora Roca Ltda. Ed 6</w:t>
      </w:r>
      <w:r w:rsidDel="00000000" w:rsidR="00000000" w:rsidRPr="00000000">
        <w:rPr>
          <w:sz w:val="20"/>
          <w:szCs w:val="20"/>
          <w:rtl w:val="0"/>
        </w:rPr>
        <w:t xml:space="preserve">,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p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. 1029. </w:t>
      </w:r>
    </w:p>
    <w:p w:rsidR="00000000" w:rsidDel="00000000" w:rsidP="00000000" w:rsidRDefault="00000000" w:rsidRPr="00000000" w14:paraId="00000033">
      <w:pPr>
        <w:spacing w:line="24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Silveira, Juliana M</w:t>
      </w:r>
      <w:r w:rsidDel="00000000" w:rsidR="00000000" w:rsidRPr="00000000">
        <w:rPr>
          <w:sz w:val="20"/>
          <w:szCs w:val="20"/>
          <w:rtl w:val="0"/>
        </w:rPr>
        <w:t xml:space="preserve">.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da. Efeitos do fogo recorrente na serrapilheira: consequências para artrópodes, decomposição e mineralização de carbono e nitrogênio em uma floresta de transição da Amazônia. 2008. 186 f. Tese (Doutorado) - Universidade Federal do Pará, Museu Paraense Emílio Goeldi, Belém, 2008. Programa de Pós-Graduação em Zoologia.</w:t>
      </w:r>
    </w:p>
    <w:p w:rsidR="00000000" w:rsidDel="00000000" w:rsidP="00000000" w:rsidRDefault="00000000" w:rsidRPr="00000000" w14:paraId="00000034">
      <w:pPr>
        <w:spacing w:line="24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York, A. 1999. Long-term effects on frequent low-intensity burning on the abundance of</w:t>
      </w:r>
    </w:p>
    <w:p w:rsidR="00000000" w:rsidDel="00000000" w:rsidP="00000000" w:rsidRDefault="00000000" w:rsidRPr="00000000" w14:paraId="00000035">
      <w:pPr>
        <w:spacing w:line="24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litter-dwelling invertebrates in coastal blackbutt forests southeastern Australia. Journal</w:t>
      </w:r>
    </w:p>
    <w:p w:rsidR="00000000" w:rsidDel="00000000" w:rsidP="00000000" w:rsidRDefault="00000000" w:rsidRPr="00000000" w14:paraId="00000036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of Insect Conservation, 3: 191-99.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25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tabs>
        <w:tab w:val="center" w:leader="none" w:pos="4252"/>
        <w:tab w:val="right" w:leader="none" w:pos="8504"/>
      </w:tabs>
      <w:spacing w:before="708" w:line="240" w:lineRule="auto"/>
      <w:jc w:val="both"/>
      <w:rPr/>
    </w:pPr>
    <w:r w:rsidDel="00000000" w:rsidR="00000000" w:rsidRPr="00000000">
      <w:rPr>
        <w:rFonts w:ascii="Calibri" w:cs="Calibri" w:eastAsia="Calibri" w:hAnsi="Calibri"/>
        <w:color w:val="ffffff"/>
      </w:rPr>
      <w:drawing>
        <wp:inline distB="0" distT="0" distL="114300" distR="114300">
          <wp:extent cx="1776095" cy="798195"/>
          <wp:effectExtent b="0" l="0" r="0" t="0"/>
          <wp:docPr descr="Logo_CORR 1" id="6" name="image1.png"/>
          <a:graphic>
            <a:graphicData uri="http://schemas.openxmlformats.org/drawingml/2006/picture">
              <pic:pic>
                <pic:nvPicPr>
                  <pic:cNvPr descr="Logo_CORR 1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76095" cy="7981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color w:val="ffffff"/>
        <w:rtl w:val="0"/>
      </w:rPr>
      <w:t xml:space="preserve">                                                                                                         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pPr>
      <w:spacing w:line="276" w:lineRule="auto"/>
    </w:pPr>
    <w:rPr>
      <w:sz w:val="22"/>
      <w:szCs w:val="22"/>
      <w:lang w:val="zh-CN"/>
    </w:rPr>
  </w:style>
  <w:style w:type="paragraph" w:styleId="Ttulo1">
    <w:name w:val="heading 1"/>
    <w:basedOn w:val="Normal"/>
    <w:next w:val="Normal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tulo">
    <w:name w:val="Title"/>
    <w:basedOn w:val="Normal"/>
    <w:next w:val="Normal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Rodap">
    <w:name w:val="footer"/>
    <w:basedOn w:val="Normal"/>
    <w:qFormat w:val="1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TableNormal" w:customStyle="1">
    <w:name w:val="Table Normal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debalo">
    <w:name w:val="Balloon Text"/>
    <w:basedOn w:val="Normal"/>
    <w:link w:val="TextodebaloChar"/>
    <w:rsid w:val="008D16A0"/>
    <w:pPr>
      <w:spacing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rsid w:val="008D16A0"/>
    <w:rPr>
      <w:rFonts w:ascii="Tahoma" w:cs="Tahoma" w:hAnsi="Tahoma"/>
      <w:sz w:val="16"/>
      <w:szCs w:val="16"/>
      <w:lang w:val="zh-CN"/>
    </w:rPr>
  </w:style>
  <w:style w:type="paragraph" w:styleId="Cabealho">
    <w:name w:val="header"/>
    <w:basedOn w:val="Normal"/>
    <w:link w:val="CabealhoChar"/>
    <w:rsid w:val="008D16A0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rsid w:val="008D16A0"/>
    <w:rPr>
      <w:sz w:val="22"/>
      <w:szCs w:val="22"/>
      <w:lang w:val="zh-CN"/>
    </w:rPr>
  </w:style>
  <w:style w:type="character" w:styleId="Hyperlink">
    <w:name w:val="Hyperlink"/>
    <w:basedOn w:val="Fontepargpadro"/>
    <w:rsid w:val="008D16A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 w:val="1"/>
    <w:rsid w:val="008D16A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pt-BR"/>
    </w:rPr>
  </w:style>
  <w:style w:type="paragraph" w:styleId="Reviso">
    <w:name w:val="Revision"/>
    <w:hidden w:val="1"/>
    <w:uiPriority w:val="99"/>
    <w:unhideWhenUsed w:val="1"/>
    <w:rsid w:val="00A016CC"/>
    <w:rPr>
      <w:sz w:val="22"/>
      <w:szCs w:val="22"/>
      <w:lang w:val="zh-CN"/>
    </w:rPr>
  </w:style>
  <w:style w:type="character" w:styleId="Refdecomentrio">
    <w:name w:val="annotation reference"/>
    <w:basedOn w:val="Fontepargpadro"/>
    <w:rsid w:val="00A016C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A016CC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rsid w:val="00A016CC"/>
    <w:rPr>
      <w:lang w:val="zh-CN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A016CC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rsid w:val="00A016CC"/>
    <w:rPr>
      <w:b w:val="1"/>
      <w:bCs w:val="1"/>
      <w:lang w:val="zh-CN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vjEHk7hjE5Do8FZGD64qYiQv7Q==">CgMxLjAyCGguZ2pkZ3hzOAByITFJLVJmTi14N29PZ0wzVXE1TWxMbjlQT1VPcVdUbkM4cQ==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2023-08-19T00:25:00Z</dcterms:created>
  <dc:creator>jesse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1046-11.2.0.11388</vt:lpwstr>
  </property>
  <property fmtid="{D5CDD505-2E9C-101B-9397-08002B2CF9AE}" pid="3" name="ICV">
    <vt:lpwstr>72DE21DEC1A84E559D7BB609DCEDA745</vt:lpwstr>
  </property>
</Properties>
</file>