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76C4" w14:textId="77777777" w:rsidR="002B01CF" w:rsidRDefault="002B01CF" w:rsidP="00A345C6">
      <w:pPr>
        <w:jc w:val="center"/>
        <w:rPr>
          <w:rFonts w:ascii="Arial" w:hAnsi="Arial" w:cs="Arial"/>
          <w:b/>
          <w:bCs/>
          <w:sz w:val="28"/>
          <w:szCs w:val="28"/>
        </w:rPr>
      </w:pPr>
    </w:p>
    <w:p w14:paraId="0EF0FEB9" w14:textId="1F340715" w:rsidR="00442A47" w:rsidRPr="00442A47" w:rsidRDefault="00A345C6" w:rsidP="00A345C6">
      <w:pPr>
        <w:jc w:val="center"/>
        <w:rPr>
          <w:rFonts w:ascii="Arial" w:hAnsi="Arial" w:cs="Arial"/>
          <w:b/>
          <w:bCs/>
        </w:rPr>
      </w:pPr>
      <w:r w:rsidRPr="00A345C6">
        <w:rPr>
          <w:rFonts w:ascii="Arial" w:hAnsi="Arial" w:cs="Arial"/>
          <w:b/>
          <w:bCs/>
          <w:sz w:val="28"/>
          <w:szCs w:val="28"/>
        </w:rPr>
        <w:t>PROCESSO DE CONFIGURAÇÃO SÓCIO-HISTÓRICO DA PROFISSÃO DOCENTE</w:t>
      </w:r>
    </w:p>
    <w:p w14:paraId="776CFB4E" w14:textId="1821FE7C" w:rsidR="000D34B8" w:rsidRPr="00905EB5" w:rsidRDefault="00A345C6" w:rsidP="00905EB5">
      <w:pPr>
        <w:spacing w:after="0" w:line="240" w:lineRule="auto"/>
        <w:jc w:val="right"/>
        <w:rPr>
          <w:rFonts w:ascii="Arial" w:hAnsi="Arial" w:cs="Arial"/>
          <w:b/>
          <w:bCs/>
        </w:rPr>
      </w:pPr>
      <w:r>
        <w:rPr>
          <w:rFonts w:ascii="Arial" w:hAnsi="Arial" w:cs="Arial"/>
          <w:b/>
          <w:bCs/>
        </w:rPr>
        <w:t>Cámala de Menezes Costa Almeida</w:t>
      </w:r>
    </w:p>
    <w:p w14:paraId="09110AFD" w14:textId="19980F9E" w:rsidR="00114785" w:rsidRPr="00AC463E" w:rsidRDefault="00A345C6" w:rsidP="00905EB5">
      <w:pPr>
        <w:spacing w:after="0" w:line="240" w:lineRule="auto"/>
        <w:jc w:val="right"/>
        <w:rPr>
          <w:rFonts w:ascii="Arial" w:hAnsi="Arial" w:cs="Arial"/>
        </w:rPr>
      </w:pPr>
      <w:r>
        <w:rPr>
          <w:rFonts w:ascii="Arial" w:hAnsi="Arial" w:cs="Arial"/>
        </w:rPr>
        <w:t>Ufac</w:t>
      </w:r>
    </w:p>
    <w:p w14:paraId="633A05C3" w14:textId="156A1005" w:rsidR="00114785" w:rsidRDefault="00A345C6" w:rsidP="00905EB5">
      <w:pPr>
        <w:spacing w:after="0" w:line="240" w:lineRule="auto"/>
        <w:jc w:val="right"/>
        <w:rPr>
          <w:rFonts w:ascii="Arial" w:hAnsi="Arial" w:cs="Arial"/>
        </w:rPr>
      </w:pPr>
      <w:hyperlink r:id="rId8" w:history="1">
        <w:r w:rsidRPr="00960B6C">
          <w:rPr>
            <w:rStyle w:val="Hyperlink"/>
            <w:rFonts w:ascii="Arial" w:hAnsi="Arial" w:cs="Arial"/>
          </w:rPr>
          <w:t>camalamenezes12@gmail.com</w:t>
        </w:r>
      </w:hyperlink>
    </w:p>
    <w:p w14:paraId="26C7FD08" w14:textId="77777777" w:rsidR="00CD67C2" w:rsidRDefault="00CD67C2" w:rsidP="00CD67C2">
      <w:pPr>
        <w:pBdr>
          <w:top w:val="nil"/>
          <w:left w:val="nil"/>
          <w:bottom w:val="nil"/>
          <w:right w:val="nil"/>
          <w:between w:val="nil"/>
        </w:pBdr>
        <w:spacing w:before="240" w:after="0" w:line="240" w:lineRule="auto"/>
        <w:rPr>
          <w:rFonts w:ascii="Arial" w:eastAsia="Garamond" w:hAnsi="Arial" w:cs="Arial"/>
          <w:b/>
          <w:color w:val="000000"/>
        </w:rPr>
      </w:pPr>
      <w:r w:rsidRPr="00833E1D">
        <w:rPr>
          <w:rFonts w:ascii="Arial" w:eastAsia="Garamond" w:hAnsi="Arial" w:cs="Arial"/>
          <w:b/>
          <w:color w:val="000000"/>
        </w:rPr>
        <w:t>Resumo</w:t>
      </w:r>
    </w:p>
    <w:p w14:paraId="4644DB71" w14:textId="77777777" w:rsidR="00412020" w:rsidRPr="00833E1D" w:rsidRDefault="00412020" w:rsidP="00CD67C2">
      <w:pPr>
        <w:pBdr>
          <w:top w:val="nil"/>
          <w:left w:val="nil"/>
          <w:bottom w:val="nil"/>
          <w:right w:val="nil"/>
          <w:between w:val="nil"/>
        </w:pBdr>
        <w:spacing w:before="240" w:after="0" w:line="240" w:lineRule="auto"/>
        <w:rPr>
          <w:rFonts w:ascii="Arial" w:eastAsia="Garamond" w:hAnsi="Arial" w:cs="Arial"/>
          <w:b/>
          <w:color w:val="000000"/>
        </w:rPr>
      </w:pPr>
    </w:p>
    <w:p w14:paraId="0E052B64" w14:textId="77777777" w:rsidR="008203D6" w:rsidRDefault="008203D6" w:rsidP="00CD67C2">
      <w:pPr>
        <w:pBdr>
          <w:top w:val="nil"/>
          <w:left w:val="nil"/>
          <w:bottom w:val="nil"/>
          <w:right w:val="nil"/>
          <w:between w:val="nil"/>
        </w:pBdr>
        <w:spacing w:after="240" w:line="240" w:lineRule="auto"/>
        <w:jc w:val="both"/>
        <w:rPr>
          <w:rFonts w:ascii="Arial" w:eastAsia="Garamond" w:hAnsi="Arial" w:cs="Arial"/>
          <w:color w:val="000000"/>
          <w:sz w:val="22"/>
          <w:szCs w:val="22"/>
        </w:rPr>
      </w:pPr>
      <w:bookmarkStart w:id="0" w:name="_heading=h.gjdgxs" w:colFirst="0" w:colLast="0"/>
      <w:bookmarkEnd w:id="0"/>
      <w:r w:rsidRPr="008203D6">
        <w:rPr>
          <w:rFonts w:ascii="Arial" w:eastAsia="Garamond" w:hAnsi="Arial" w:cs="Arial"/>
          <w:color w:val="000000"/>
          <w:sz w:val="22"/>
          <w:szCs w:val="22"/>
        </w:rPr>
        <w:t>O presente resumo aborda uma síntese da produção teórica sobre os estudos e pesquisas que tem como foco de investigação o trabalho docente, abordando - o na perspectiva de trabalho, de profissão ou dos saberes que alicerçam esta atividade profissional, com as autoras como Costa (1995) e Vilella (1999). Buscou-se traçar uma trajetória histórica sobre o processo de feminização do magistério com Apple (1995), Louro (1997); e discutir o processo de profissionalização x proletarização.</w:t>
      </w:r>
    </w:p>
    <w:p w14:paraId="60C09339" w14:textId="6D78FDBF" w:rsidR="00CD67C2" w:rsidRPr="00833E1D" w:rsidRDefault="00CD67C2" w:rsidP="00CD67C2">
      <w:pPr>
        <w:pBdr>
          <w:top w:val="nil"/>
          <w:left w:val="nil"/>
          <w:bottom w:val="nil"/>
          <w:right w:val="nil"/>
          <w:between w:val="nil"/>
        </w:pBdr>
        <w:spacing w:after="240" w:line="240" w:lineRule="auto"/>
        <w:jc w:val="both"/>
        <w:rPr>
          <w:rFonts w:ascii="Arial" w:eastAsia="Garamond" w:hAnsi="Arial" w:cs="Arial"/>
          <w:color w:val="000000"/>
        </w:rPr>
      </w:pPr>
      <w:r w:rsidRPr="00833E1D">
        <w:rPr>
          <w:rFonts w:ascii="Arial" w:eastAsia="Garamond" w:hAnsi="Arial" w:cs="Arial"/>
          <w:b/>
          <w:color w:val="000000"/>
        </w:rPr>
        <w:t>Palavras-chave:</w:t>
      </w:r>
      <w:r w:rsidRPr="00833E1D">
        <w:rPr>
          <w:rFonts w:ascii="Arial" w:eastAsia="Garamond" w:hAnsi="Arial" w:cs="Arial"/>
          <w:color w:val="000000"/>
        </w:rPr>
        <w:t xml:space="preserve"> </w:t>
      </w:r>
      <w:r w:rsidR="00ED6394">
        <w:rPr>
          <w:rFonts w:ascii="Arial" w:eastAsia="Garamond" w:hAnsi="Arial" w:cs="Arial"/>
          <w:color w:val="000000"/>
        </w:rPr>
        <w:t xml:space="preserve">Trabalho Docente; </w:t>
      </w:r>
      <w:r w:rsidRPr="00833E1D">
        <w:rPr>
          <w:rFonts w:ascii="Arial" w:eastAsia="Garamond" w:hAnsi="Arial" w:cs="Arial"/>
          <w:color w:val="000000"/>
        </w:rPr>
        <w:t>Profissão Docente; Configuração sócio-histórica da Docência</w:t>
      </w:r>
    </w:p>
    <w:p w14:paraId="5CDB62F1" w14:textId="00281DDF" w:rsidR="00155BBC" w:rsidRPr="00155BBC" w:rsidRDefault="00CD67C2" w:rsidP="008203D6">
      <w:pPr>
        <w:spacing w:after="0" w:line="240" w:lineRule="auto"/>
        <w:ind w:firstLine="708"/>
        <w:jc w:val="both"/>
        <w:rPr>
          <w:rFonts w:ascii="Arial" w:hAnsi="Arial" w:cs="Arial"/>
        </w:rPr>
      </w:pPr>
      <w:r w:rsidRPr="00CD67C2">
        <w:rPr>
          <w:rFonts w:ascii="Arial" w:hAnsi="Arial" w:cs="Arial"/>
        </w:rPr>
        <w:t>Ao iniciar esta discussão, é fundamental trazer algumas considerações sobre a categoria do trabalho, especialmente em relação ao trabalho docente.</w:t>
      </w:r>
      <w:r w:rsidR="008203D6">
        <w:rPr>
          <w:rFonts w:ascii="Arial" w:hAnsi="Arial" w:cs="Arial"/>
        </w:rPr>
        <w:t xml:space="preserve"> </w:t>
      </w:r>
      <w:r w:rsidR="00155BBC" w:rsidRPr="00155BBC">
        <w:rPr>
          <w:rFonts w:ascii="Arial" w:hAnsi="Arial" w:cs="Arial"/>
        </w:rPr>
        <w:t>O trabalho, em sua essência, é um processo de interação entre o ser humano e a natureza. Ao alterar o meio ambiente, o ser humano também se transforma. Diferentemente dos animais, que atuam apenas por instinto, o homem modifica a natureza conforme suas necessidades de sobrevivência. Segundo Marx (2003), o trabalho é um processo em que a ação humana regula e controla a relação material com o ambiente, sendo essa transformação uma característica exclusiva da humanidade.</w:t>
      </w:r>
    </w:p>
    <w:p w14:paraId="676F9536" w14:textId="77777777" w:rsidR="00155BBC" w:rsidRPr="00155BBC" w:rsidRDefault="00155BBC" w:rsidP="00155BBC">
      <w:pPr>
        <w:spacing w:after="0" w:line="240" w:lineRule="auto"/>
        <w:ind w:firstLine="708"/>
        <w:jc w:val="both"/>
        <w:rPr>
          <w:rFonts w:ascii="Arial" w:hAnsi="Arial" w:cs="Arial"/>
        </w:rPr>
      </w:pPr>
    </w:p>
    <w:p w14:paraId="3EBC1468"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Dessa forma, o trabalho é essencial para a sobrevivência, pois permite ao ser humano não só modificar a natureza, mas também ser modificado por ela. A produção de bens é fundamental para a existência humana, possibilitando transformações tanto no sujeito quanto no entorno. Contudo, essa relação evolui com as transformações sociais. No capitalismo, há uma alienação do trabalhador, que se vê separado de suas ferramentas de produção, tornando-as propriedade privada.</w:t>
      </w:r>
    </w:p>
    <w:p w14:paraId="5067A0D0" w14:textId="77777777" w:rsidR="00155BBC" w:rsidRPr="00155BBC" w:rsidRDefault="00155BBC" w:rsidP="00155BBC">
      <w:pPr>
        <w:spacing w:after="0" w:line="240" w:lineRule="auto"/>
        <w:ind w:firstLine="708"/>
        <w:jc w:val="both"/>
        <w:rPr>
          <w:rFonts w:ascii="Arial" w:hAnsi="Arial" w:cs="Arial"/>
        </w:rPr>
      </w:pPr>
    </w:p>
    <w:p w14:paraId="32912CE5"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A análise do trabalho docente sob a perspectiva do materialismo histórico-dialético revela suas implicações. Azzi (2000) destaca que a docência é reconhecida como uma forma de trabalho através de sua profissionalização, embora enfrente limitações sociais, econômicas e culturais. A profissão de professor evolui em consonância com as transformações sociais e o modo de produção capitalista.</w:t>
      </w:r>
    </w:p>
    <w:p w14:paraId="06742529" w14:textId="77777777" w:rsidR="00155BBC" w:rsidRPr="00155BBC" w:rsidRDefault="00155BBC" w:rsidP="00155BBC">
      <w:pPr>
        <w:spacing w:after="0" w:line="240" w:lineRule="auto"/>
        <w:ind w:firstLine="708"/>
        <w:jc w:val="both"/>
        <w:rPr>
          <w:rFonts w:ascii="Arial" w:hAnsi="Arial" w:cs="Arial"/>
        </w:rPr>
      </w:pPr>
    </w:p>
    <w:p w14:paraId="30C252D0"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lastRenderedPageBreak/>
        <w:t>Azzi (2003) observa que o labor docente, semelhante ao de outros operários, é uma necessidade de venda da força de trabalho para a sobrevivência. A distinção, no entanto, não está no produto final, mas no processo de trabalho, onde o aluno se torna um sujeito ativo, interagindo com os saberes pedagógicos. Considerando a docência como uma prática social, Azzi identifica contradições e oportunidades na interação entre professores e alunos, em que o docente se enriquece tanto pessoal quanto profissionalmente.</w:t>
      </w:r>
    </w:p>
    <w:p w14:paraId="29EFC2E4" w14:textId="77777777" w:rsidR="00155BBC" w:rsidRPr="00155BBC" w:rsidRDefault="00155BBC" w:rsidP="00155BBC">
      <w:pPr>
        <w:spacing w:after="0" w:line="240" w:lineRule="auto"/>
        <w:ind w:firstLine="708"/>
        <w:jc w:val="both"/>
        <w:rPr>
          <w:rFonts w:ascii="Arial" w:hAnsi="Arial" w:cs="Arial"/>
        </w:rPr>
      </w:pPr>
    </w:p>
    <w:p w14:paraId="6E1469AF"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A compreensão da evolução da docência como uma ocupação profissional se fundamenta nas contribuições de estudiosos, como o trabalho de Costa (1995), que analisa as condições de profissionalização docente e as reflexões de Antônio Nóvoa.</w:t>
      </w:r>
    </w:p>
    <w:p w14:paraId="20275C02" w14:textId="77777777" w:rsidR="00155BBC" w:rsidRPr="00155BBC" w:rsidRDefault="00155BBC" w:rsidP="00155BBC">
      <w:pPr>
        <w:spacing w:after="0" w:line="240" w:lineRule="auto"/>
        <w:ind w:firstLine="708"/>
        <w:jc w:val="both"/>
        <w:rPr>
          <w:rFonts w:ascii="Arial" w:hAnsi="Arial" w:cs="Arial"/>
        </w:rPr>
      </w:pPr>
    </w:p>
    <w:p w14:paraId="21016EE7"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Villela (2007) enfatiza a importância de entender a estrutura do sistema escolar ao investigar a formação do trabalho docente no Brasil. A profissionalização dos professores começou com a chegada dos professores régios e foi regulamentada pela Lei Geral de Ensino de 1827, que organizou a educação no Brasil, centralizando a criação de escolas e restringindo a autonomia provincial. Embora a referida lei não tenha abordado profundamente a formação docente, o Ato Adicional de 1834 transferiu essa responsabilidade para as províncias, resultando na regulamentação da profissão e na criação de escolas normais, essenciais para a formação qualificada de professores.</w:t>
      </w:r>
    </w:p>
    <w:p w14:paraId="4F0853E8" w14:textId="77777777" w:rsidR="00155BBC" w:rsidRPr="00155BBC" w:rsidRDefault="00155BBC" w:rsidP="00155BBC">
      <w:pPr>
        <w:spacing w:after="0" w:line="240" w:lineRule="auto"/>
        <w:ind w:firstLine="708"/>
        <w:jc w:val="both"/>
        <w:rPr>
          <w:rFonts w:ascii="Arial" w:hAnsi="Arial" w:cs="Arial"/>
        </w:rPr>
      </w:pPr>
    </w:p>
    <w:p w14:paraId="0D87C9C5"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No século XIX, as escolas normais tornaram-se o pilar da formação docente, substituindo mestres menos preparados por indivíduos mais instruídos, como exemplificado pela escola de Caetano de Campos em São Paulo. Essa transformação estava alinhada a um contexto de valorização profissional. As escolas normais refletiram também a apropriação de ideias iluministas que viam a educação como um meio de progresso civilizatório e controle social. No fim do século XIX, a demanda por educação pública aumentou, impulsionada por mudanças políticas, sociais e econômicas, o que repercutiu nas condições do professorado e na estrutura escolar em um cenário de industrialização e urbanização.</w:t>
      </w:r>
    </w:p>
    <w:p w14:paraId="2D543FEB" w14:textId="77777777" w:rsidR="00155BBC" w:rsidRPr="00155BBC" w:rsidRDefault="00155BBC" w:rsidP="00155BBC">
      <w:pPr>
        <w:spacing w:after="0" w:line="240" w:lineRule="auto"/>
        <w:ind w:firstLine="708"/>
        <w:jc w:val="both"/>
        <w:rPr>
          <w:rFonts w:ascii="Arial" w:hAnsi="Arial" w:cs="Arial"/>
        </w:rPr>
      </w:pPr>
    </w:p>
    <w:p w14:paraId="1424DA70"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Dessa forma, a educação se configura como uma necessidade emergente, resultante de transformações estruturais na sociedade brasileira e evidenciando o papel primordial da escolarização na formação de cidadãos.</w:t>
      </w:r>
    </w:p>
    <w:p w14:paraId="64DCB9C6" w14:textId="77777777" w:rsidR="00155BBC" w:rsidRPr="00155BBC" w:rsidRDefault="00155BBC" w:rsidP="00155BBC">
      <w:pPr>
        <w:spacing w:after="0" w:line="240" w:lineRule="auto"/>
        <w:ind w:firstLine="708"/>
        <w:jc w:val="both"/>
        <w:rPr>
          <w:rFonts w:ascii="Arial" w:hAnsi="Arial" w:cs="Arial"/>
        </w:rPr>
      </w:pPr>
    </w:p>
    <w:p w14:paraId="1033E230" w14:textId="1E0E9941" w:rsidR="00155BBC" w:rsidRDefault="00155BBC" w:rsidP="00155BBC">
      <w:pPr>
        <w:spacing w:after="0" w:line="240" w:lineRule="auto"/>
        <w:ind w:firstLine="708"/>
        <w:jc w:val="both"/>
        <w:rPr>
          <w:rFonts w:ascii="Arial" w:hAnsi="Arial" w:cs="Arial"/>
        </w:rPr>
      </w:pPr>
      <w:r w:rsidRPr="00155BBC">
        <w:rPr>
          <w:rFonts w:ascii="Arial" w:hAnsi="Arial" w:cs="Arial"/>
        </w:rPr>
        <w:t>A feminização do magistério é um aspecto crucial para entender a história do trabalho docente. Entre o final do século XIX e o início do XX, a profissão de professor no Brasil tornou-se majoritariamente feminina. Villela (2000) aponta que, ao longo de cinquenta anos, uma profissão antes dominada por homens passou a ser majoritariamente exercida por mulheres, com as escolas normais desempenhando um papel fundamental na luta por trabalho dignamente remunerado.</w:t>
      </w:r>
    </w:p>
    <w:p w14:paraId="3163544F" w14:textId="77777777" w:rsidR="008203D6" w:rsidRDefault="008203D6" w:rsidP="00155BBC">
      <w:pPr>
        <w:spacing w:after="0" w:line="240" w:lineRule="auto"/>
        <w:ind w:firstLine="708"/>
        <w:jc w:val="both"/>
        <w:rPr>
          <w:rFonts w:ascii="Arial" w:hAnsi="Arial" w:cs="Arial"/>
        </w:rPr>
      </w:pPr>
    </w:p>
    <w:p w14:paraId="6277439E" w14:textId="77777777" w:rsidR="008203D6" w:rsidRDefault="008203D6" w:rsidP="00155BBC">
      <w:pPr>
        <w:spacing w:after="0" w:line="240" w:lineRule="auto"/>
        <w:ind w:firstLine="708"/>
        <w:jc w:val="both"/>
        <w:rPr>
          <w:rFonts w:ascii="Arial" w:hAnsi="Arial" w:cs="Arial"/>
        </w:rPr>
      </w:pPr>
    </w:p>
    <w:p w14:paraId="3EE1006A" w14:textId="77777777" w:rsidR="008203D6" w:rsidRPr="00155BBC" w:rsidRDefault="008203D6" w:rsidP="00155BBC">
      <w:pPr>
        <w:spacing w:after="0" w:line="240" w:lineRule="auto"/>
        <w:ind w:firstLine="708"/>
        <w:jc w:val="both"/>
        <w:rPr>
          <w:rFonts w:ascii="Arial" w:hAnsi="Arial" w:cs="Arial"/>
        </w:rPr>
      </w:pPr>
    </w:p>
    <w:p w14:paraId="317904AF"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Peixoto (2005), por sua vez, investiga, a partir de uma pesquisa sobre a história da educação e gênero, as razões para o aumento do número de mulheres no magistério. Os autores identificaram quatro eixos interdependentes que explicam a feminização da profissão:</w:t>
      </w:r>
    </w:p>
    <w:p w14:paraId="0AB57EBA" w14:textId="77777777" w:rsidR="00155BBC" w:rsidRPr="00155BBC" w:rsidRDefault="00155BBC" w:rsidP="00155BBC">
      <w:pPr>
        <w:spacing w:after="0" w:line="240" w:lineRule="auto"/>
        <w:ind w:firstLine="708"/>
        <w:jc w:val="both"/>
        <w:rPr>
          <w:rFonts w:ascii="Arial" w:hAnsi="Arial" w:cs="Arial"/>
        </w:rPr>
      </w:pPr>
    </w:p>
    <w:p w14:paraId="6FCB4E2E" w14:textId="60D65976"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1. </w:t>
      </w:r>
      <w:r w:rsidRPr="00155BBC">
        <w:rPr>
          <w:rFonts w:ascii="Arial" w:hAnsi="Arial" w:cs="Arial"/>
          <w:i/>
          <w:iCs/>
        </w:rPr>
        <w:t>Alterações na Estrutura Ocupacional e Mercado de Trabalho</w:t>
      </w:r>
      <w:r w:rsidRPr="00155BBC">
        <w:rPr>
          <w:rFonts w:ascii="Arial" w:hAnsi="Arial" w:cs="Arial"/>
        </w:rPr>
        <w:t>: Mudanças ligadas ao capitalismo e urbanização criaram novas oportunidades para homens, enquanto perpetuavam um contexto patriarcal que mantinha a subalternidade das mulheres.</w:t>
      </w:r>
    </w:p>
    <w:p w14:paraId="658325C8" w14:textId="004A0515"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2. </w:t>
      </w:r>
      <w:r w:rsidRPr="00155BBC">
        <w:rPr>
          <w:rFonts w:ascii="Arial" w:hAnsi="Arial" w:cs="Arial"/>
          <w:i/>
          <w:iCs/>
        </w:rPr>
        <w:t>Aumento da Escolarização</w:t>
      </w:r>
      <w:r w:rsidRPr="00155BBC">
        <w:rPr>
          <w:rFonts w:ascii="Arial" w:hAnsi="Arial" w:cs="Arial"/>
        </w:rPr>
        <w:t>: A ampliação do número de escolas, especialmente para meninas, e a introdução de novos modelos pedagógicos facilitaram a entrada feminina no magistério.</w:t>
      </w:r>
    </w:p>
    <w:p w14:paraId="734D5939" w14:textId="2F501952" w:rsidR="00155BBC" w:rsidRPr="00155BBC" w:rsidRDefault="00155BBC" w:rsidP="00155BBC">
      <w:pPr>
        <w:spacing w:after="0" w:line="240" w:lineRule="auto"/>
        <w:ind w:firstLine="708"/>
        <w:jc w:val="both"/>
        <w:rPr>
          <w:rFonts w:ascii="Arial" w:hAnsi="Arial" w:cs="Arial"/>
        </w:rPr>
      </w:pPr>
      <w:r w:rsidRPr="00155BBC">
        <w:rPr>
          <w:rFonts w:ascii="Arial" w:hAnsi="Arial" w:cs="Arial"/>
        </w:rPr>
        <w:t>3.</w:t>
      </w:r>
      <w:r>
        <w:rPr>
          <w:rFonts w:ascii="Arial" w:hAnsi="Arial" w:cs="Arial"/>
        </w:rPr>
        <w:t xml:space="preserve"> </w:t>
      </w:r>
      <w:r w:rsidRPr="00155BBC">
        <w:rPr>
          <w:rFonts w:ascii="Arial" w:hAnsi="Arial" w:cs="Arial"/>
          <w:i/>
          <w:iCs/>
        </w:rPr>
        <w:t>Mudanças nas Representações de Gênero</w:t>
      </w:r>
      <w:r w:rsidRPr="00155BBC">
        <w:rPr>
          <w:rFonts w:ascii="Arial" w:hAnsi="Arial" w:cs="Arial"/>
        </w:rPr>
        <w:t>: A profissão começou a ser associada a papéis femininos tradicionais, influenciada por novas percepções educacionais e médicas sobre o papel da mulher.</w:t>
      </w:r>
    </w:p>
    <w:p w14:paraId="7964CB4D" w14:textId="63E0C04C"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4. </w:t>
      </w:r>
      <w:r w:rsidRPr="00155BBC">
        <w:rPr>
          <w:rFonts w:ascii="Arial" w:hAnsi="Arial" w:cs="Arial"/>
          <w:i/>
          <w:iCs/>
        </w:rPr>
        <w:t>Protagonismo Feminino no Mercado de Trabalho</w:t>
      </w:r>
      <w:r w:rsidRPr="00155BBC">
        <w:rPr>
          <w:rFonts w:ascii="Arial" w:hAnsi="Arial" w:cs="Arial"/>
        </w:rPr>
        <w:t>: Para mulheres menos favorecidas, o magistério passou a ser uma fonte de sustento, enquanto para as de classe alta representava uma oportunidade de atuação fora de casa.</w:t>
      </w:r>
    </w:p>
    <w:p w14:paraId="2AD842E2" w14:textId="77777777" w:rsidR="00155BBC" w:rsidRPr="00155BBC" w:rsidRDefault="00155BBC" w:rsidP="00155BBC">
      <w:pPr>
        <w:spacing w:after="0" w:line="240" w:lineRule="auto"/>
        <w:ind w:firstLine="708"/>
        <w:jc w:val="both"/>
        <w:rPr>
          <w:rFonts w:ascii="Arial" w:hAnsi="Arial" w:cs="Arial"/>
        </w:rPr>
      </w:pPr>
    </w:p>
    <w:p w14:paraId="458A9FF5"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A presença das mulheres no magistério foi catalisada por várias transformações sociais e econômicas, conforme Louro (1989). Contudo, essa entrada demandou uma reconsideração dos discursos convencionais sobre o papel feminino. A sociedade brasileira da época, sob a influência da Igreja Católica, restringia o papel das mulheres ao âmbito doméstico, e o magistério foi visto como uma extensão desse papel, facilitando a inserção feminina, embora gerando controvérsias sobre a capacidade das mulheres para educar.</w:t>
      </w:r>
    </w:p>
    <w:p w14:paraId="72275B42" w14:textId="77777777" w:rsidR="00155BBC" w:rsidRPr="00155BBC" w:rsidRDefault="00155BBC" w:rsidP="00155BBC">
      <w:pPr>
        <w:spacing w:after="0" w:line="240" w:lineRule="auto"/>
        <w:ind w:firstLine="708"/>
        <w:jc w:val="both"/>
        <w:rPr>
          <w:rFonts w:ascii="Arial" w:hAnsi="Arial" w:cs="Arial"/>
        </w:rPr>
      </w:pPr>
    </w:p>
    <w:p w14:paraId="6AE4EA56"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As Escolas Normais proporcionaram formação que englobava tanto </w:t>
      </w:r>
      <w:proofErr w:type="spellStart"/>
      <w:r w:rsidRPr="00155BBC">
        <w:rPr>
          <w:rFonts w:ascii="Arial" w:hAnsi="Arial" w:cs="Arial"/>
        </w:rPr>
        <w:t>a</w:t>
      </w:r>
      <w:proofErr w:type="spellEnd"/>
      <w:r w:rsidRPr="00155BBC">
        <w:rPr>
          <w:rFonts w:ascii="Arial" w:hAnsi="Arial" w:cs="Arial"/>
        </w:rPr>
        <w:t xml:space="preserve"> docência quanto habilidades domésticas, criando um espaço de aceitação social para as mulheres. Os homens, por outro lado, tinham acesso a uma formação mais ampla e ocupavam posições mais altas. Enquanto as mulheres eram frequentemente remuneradas de forma inferior, recebendo seus salários como complemento à renda familiar, </w:t>
      </w:r>
      <w:proofErr w:type="spellStart"/>
      <w:r w:rsidRPr="00155BBC">
        <w:rPr>
          <w:rFonts w:ascii="Arial" w:hAnsi="Arial" w:cs="Arial"/>
        </w:rPr>
        <w:t>a</w:t>
      </w:r>
      <w:proofErr w:type="spellEnd"/>
      <w:r w:rsidRPr="00155BBC">
        <w:rPr>
          <w:rFonts w:ascii="Arial" w:hAnsi="Arial" w:cs="Arial"/>
        </w:rPr>
        <w:t xml:space="preserve"> docência era percebida como uma vocação que não priorizava o salário.</w:t>
      </w:r>
    </w:p>
    <w:p w14:paraId="6AFECCB7" w14:textId="77777777" w:rsidR="00155BBC" w:rsidRPr="00155BBC" w:rsidRDefault="00155BBC" w:rsidP="00155BBC">
      <w:pPr>
        <w:spacing w:after="0" w:line="240" w:lineRule="auto"/>
        <w:ind w:firstLine="708"/>
        <w:jc w:val="both"/>
        <w:rPr>
          <w:rFonts w:ascii="Arial" w:hAnsi="Arial" w:cs="Arial"/>
        </w:rPr>
      </w:pPr>
    </w:p>
    <w:p w14:paraId="4C0082D7"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À medida que os homens abandonaram a profissão em busca de melhores remunerações, as mulheres tornaram-se a maioria, o que, segundo Costa (1995), resultou em uma regulação mais rigorosa e uma autonomia reduzida da docência. </w:t>
      </w:r>
      <w:proofErr w:type="spellStart"/>
      <w:r w:rsidRPr="00155BBC">
        <w:rPr>
          <w:rFonts w:ascii="Arial" w:hAnsi="Arial" w:cs="Arial"/>
        </w:rPr>
        <w:t>Enguita</w:t>
      </w:r>
      <w:proofErr w:type="spellEnd"/>
      <w:r w:rsidRPr="00155BBC">
        <w:rPr>
          <w:rFonts w:ascii="Arial" w:hAnsi="Arial" w:cs="Arial"/>
        </w:rPr>
        <w:t xml:space="preserve"> (1991) argumenta que essa feminização contribuiu para um ambiente escolar menos sexista e alterou a relação das professoras com classes sociais, embora tenha dificultado a profissionalização do setor.</w:t>
      </w:r>
    </w:p>
    <w:p w14:paraId="4AA83D68" w14:textId="77777777" w:rsidR="00155BBC" w:rsidRPr="00155BBC" w:rsidRDefault="00155BBC" w:rsidP="00155BBC">
      <w:pPr>
        <w:spacing w:after="0" w:line="240" w:lineRule="auto"/>
        <w:ind w:firstLine="708"/>
        <w:jc w:val="both"/>
        <w:rPr>
          <w:rFonts w:ascii="Arial" w:hAnsi="Arial" w:cs="Arial"/>
        </w:rPr>
      </w:pPr>
    </w:p>
    <w:p w14:paraId="3348ADAD"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Dessa maneira, a feminização do magistério é um fenômeno complexo que reflete transformações sociais e exige uma reavaliação dos discursos sobre gênero e profissão.</w:t>
      </w:r>
    </w:p>
    <w:p w14:paraId="063B9919" w14:textId="77777777" w:rsidR="00155BBC" w:rsidRPr="00155BBC" w:rsidRDefault="00155BBC" w:rsidP="00155BBC">
      <w:pPr>
        <w:spacing w:after="0" w:line="240" w:lineRule="auto"/>
        <w:ind w:firstLine="708"/>
        <w:jc w:val="both"/>
        <w:rPr>
          <w:rFonts w:ascii="Arial" w:hAnsi="Arial" w:cs="Arial"/>
        </w:rPr>
      </w:pPr>
    </w:p>
    <w:p w14:paraId="45ED4832"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A análise do trabalho docente sob a perspectiva de classe demanda uma base teórica que justifique a tese da proletarização. Essa ideia, que se tornou proeminente no Brasil nas décadas de 1980 e 1990, se fundamenta nas análises de Karl Marx sobre trabalho no capitalismo e na abordagem de </w:t>
      </w:r>
      <w:proofErr w:type="spellStart"/>
      <w:r w:rsidRPr="00155BBC">
        <w:rPr>
          <w:rFonts w:ascii="Arial" w:hAnsi="Arial" w:cs="Arial"/>
        </w:rPr>
        <w:t>Braverman</w:t>
      </w:r>
      <w:proofErr w:type="spellEnd"/>
      <w:r w:rsidRPr="00155BBC">
        <w:rPr>
          <w:rFonts w:ascii="Arial" w:hAnsi="Arial" w:cs="Arial"/>
        </w:rPr>
        <w:t xml:space="preserve"> sobre mudanças laborais no século XX.</w:t>
      </w:r>
    </w:p>
    <w:p w14:paraId="3AF774EA" w14:textId="77777777" w:rsidR="00155BBC" w:rsidRPr="00155BBC" w:rsidRDefault="00155BBC" w:rsidP="00155BBC">
      <w:pPr>
        <w:spacing w:after="0" w:line="240" w:lineRule="auto"/>
        <w:ind w:firstLine="708"/>
        <w:jc w:val="both"/>
        <w:rPr>
          <w:rFonts w:ascii="Arial" w:hAnsi="Arial" w:cs="Arial"/>
        </w:rPr>
      </w:pPr>
    </w:p>
    <w:p w14:paraId="424D0B2D"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 xml:space="preserve">Um estudo de </w:t>
      </w:r>
      <w:proofErr w:type="spellStart"/>
      <w:r w:rsidRPr="00155BBC">
        <w:rPr>
          <w:rFonts w:ascii="Arial" w:hAnsi="Arial" w:cs="Arial"/>
        </w:rPr>
        <w:t>Ozga</w:t>
      </w:r>
      <w:proofErr w:type="spellEnd"/>
      <w:r w:rsidRPr="00155BBC">
        <w:rPr>
          <w:rFonts w:ascii="Arial" w:hAnsi="Arial" w:cs="Arial"/>
        </w:rPr>
        <w:t xml:space="preserve"> e Law (1981), apresentado em uma conferência internacional, argumenta que os professores passariam por um processo de proletarização, similar ao vivido por trabalhadores industriais. Observa-se que, nesse contexto, os profissionais da educação perdem o controle sobre sua atividade laboral, tornando-se cada vez mais proletarizados. Anos depois, ao revisitar suas conclusões, os autores reconhecem uma avaliação simplista da classe docente, destacando a importância de investigar o gênero e a história no entendimento do trabalho docente.</w:t>
      </w:r>
    </w:p>
    <w:p w14:paraId="20B292D8" w14:textId="77777777" w:rsidR="00155BBC" w:rsidRPr="00155BBC" w:rsidRDefault="00155BBC" w:rsidP="00155BBC">
      <w:pPr>
        <w:spacing w:after="0" w:line="240" w:lineRule="auto"/>
        <w:ind w:firstLine="708"/>
        <w:jc w:val="both"/>
        <w:rPr>
          <w:rFonts w:ascii="Arial" w:hAnsi="Arial" w:cs="Arial"/>
        </w:rPr>
      </w:pPr>
    </w:p>
    <w:p w14:paraId="7DB8259B"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Definindo a proletarização como a perda de autonomia na execução de tarefas e um processo de desqualificação, os autores sugerem que os professores não se encaixam estritamente nem no proletariado nem em uma categoria de profissionais liberais. Essa posição ambivalente, unida à desvalorização salarial e à separação entre concepção e execução do trabalho, demanda uma nova abordagem para compreender a proletarização na docência.</w:t>
      </w:r>
    </w:p>
    <w:p w14:paraId="1C87B3E8" w14:textId="77777777" w:rsidR="00155BBC" w:rsidRPr="00155BBC" w:rsidRDefault="00155BBC" w:rsidP="00155BBC">
      <w:pPr>
        <w:spacing w:after="0" w:line="240" w:lineRule="auto"/>
        <w:ind w:firstLine="708"/>
        <w:jc w:val="both"/>
        <w:rPr>
          <w:rFonts w:ascii="Arial" w:hAnsi="Arial" w:cs="Arial"/>
        </w:rPr>
      </w:pPr>
    </w:p>
    <w:p w14:paraId="1D0D83DB" w14:textId="77777777" w:rsidR="00155BBC" w:rsidRPr="00155BBC" w:rsidRDefault="00155BBC" w:rsidP="00155BBC">
      <w:pPr>
        <w:spacing w:after="0" w:line="240" w:lineRule="auto"/>
        <w:ind w:firstLine="708"/>
        <w:jc w:val="both"/>
        <w:rPr>
          <w:rFonts w:ascii="Arial" w:hAnsi="Arial" w:cs="Arial"/>
        </w:rPr>
      </w:pPr>
      <w:r w:rsidRPr="00155BBC">
        <w:rPr>
          <w:rFonts w:ascii="Arial" w:hAnsi="Arial" w:cs="Arial"/>
        </w:rPr>
        <w:t>É fundamental que o estudo do trabalho docente permaneça central nas pesquisas educacionais, conectado a práticas, lutas e contradições dos educadores. Uma análise histórica deve levar em consideração as transformações pelas quais as instituições e educadores passam, refletindo sobre como mudanças políticas e educacionais afetam o trabalho docente.</w:t>
      </w:r>
    </w:p>
    <w:p w14:paraId="64A3932D" w14:textId="77777777" w:rsidR="00155BBC" w:rsidRPr="00155BBC" w:rsidRDefault="00155BBC" w:rsidP="00155BBC">
      <w:pPr>
        <w:spacing w:after="0" w:line="240" w:lineRule="auto"/>
        <w:ind w:firstLine="708"/>
        <w:jc w:val="both"/>
        <w:rPr>
          <w:rFonts w:ascii="Arial" w:hAnsi="Arial" w:cs="Arial"/>
        </w:rPr>
      </w:pPr>
    </w:p>
    <w:p w14:paraId="35150ECA" w14:textId="0959C9A4" w:rsidR="00FC222B" w:rsidRDefault="00FC222B" w:rsidP="00155BBC">
      <w:pPr>
        <w:spacing w:after="0" w:line="240" w:lineRule="auto"/>
        <w:ind w:firstLine="708"/>
        <w:jc w:val="both"/>
        <w:rPr>
          <w:rFonts w:ascii="Arial" w:eastAsia="Garamond" w:hAnsi="Arial" w:cs="Arial"/>
          <w:b/>
          <w:bCs/>
          <w:color w:val="000000"/>
        </w:rPr>
      </w:pPr>
      <w:bookmarkStart w:id="1" w:name="_Hlk149734469"/>
      <w:r w:rsidRPr="00833E1D">
        <w:rPr>
          <w:rFonts w:ascii="Arial" w:eastAsia="Garamond" w:hAnsi="Arial" w:cs="Arial"/>
          <w:b/>
          <w:bCs/>
          <w:color w:val="000000"/>
        </w:rPr>
        <w:t>Conclusã</w:t>
      </w:r>
      <w:r>
        <w:rPr>
          <w:rFonts w:ascii="Arial" w:eastAsia="Garamond" w:hAnsi="Arial" w:cs="Arial"/>
          <w:b/>
          <w:bCs/>
          <w:color w:val="000000"/>
        </w:rPr>
        <w:t>o</w:t>
      </w:r>
    </w:p>
    <w:p w14:paraId="074C6A84" w14:textId="77777777" w:rsidR="00FC222B" w:rsidRDefault="00FC222B" w:rsidP="00FC222B">
      <w:pPr>
        <w:spacing w:after="0" w:line="240" w:lineRule="auto"/>
        <w:ind w:firstLine="708"/>
        <w:jc w:val="both"/>
        <w:rPr>
          <w:rFonts w:ascii="Arial" w:eastAsia="Garamond" w:hAnsi="Arial" w:cs="Arial"/>
          <w:b/>
          <w:bCs/>
          <w:color w:val="000000"/>
        </w:rPr>
      </w:pPr>
    </w:p>
    <w:p w14:paraId="2F306797" w14:textId="77777777" w:rsidR="00FC222B" w:rsidRDefault="00FC222B" w:rsidP="00FC222B">
      <w:pPr>
        <w:spacing w:after="0" w:line="240" w:lineRule="auto"/>
        <w:ind w:firstLine="708"/>
        <w:jc w:val="both"/>
        <w:rPr>
          <w:rFonts w:ascii="Arial" w:eastAsia="Garamond" w:hAnsi="Arial" w:cs="Arial"/>
          <w:color w:val="000000"/>
        </w:rPr>
      </w:pPr>
      <w:r w:rsidRPr="00833E1D">
        <w:rPr>
          <w:rFonts w:ascii="Arial" w:eastAsia="Garamond" w:hAnsi="Arial" w:cs="Arial"/>
          <w:color w:val="000000"/>
        </w:rPr>
        <w:t xml:space="preserve">É preciso considerar a compreensão sobre a natureza do trabalho docente devidamente imerso na dinâmica das transformações que estão acontecendo na escola e consequentemente de que forma as políticas educacionais estão modificando e transformando a escola e assim compreender o que está acontecendo no trabalho do professor. </w:t>
      </w:r>
    </w:p>
    <w:p w14:paraId="5CD0F3BB" w14:textId="77777777" w:rsidR="00FC222B" w:rsidRDefault="00FC222B" w:rsidP="00FC222B">
      <w:pPr>
        <w:spacing w:after="0" w:line="240" w:lineRule="auto"/>
        <w:ind w:firstLine="708"/>
        <w:jc w:val="both"/>
        <w:rPr>
          <w:rFonts w:ascii="Arial" w:eastAsia="Garamond" w:hAnsi="Arial" w:cs="Arial"/>
          <w:color w:val="000000"/>
        </w:rPr>
      </w:pPr>
    </w:p>
    <w:p w14:paraId="23927F7F" w14:textId="6F02E325" w:rsidR="00FC222B" w:rsidRDefault="00FC222B" w:rsidP="00FC222B">
      <w:pPr>
        <w:spacing w:after="0" w:line="240" w:lineRule="auto"/>
        <w:ind w:firstLine="708"/>
        <w:jc w:val="both"/>
        <w:rPr>
          <w:rFonts w:ascii="Arial" w:eastAsia="Garamond" w:hAnsi="Arial" w:cs="Arial"/>
          <w:color w:val="000000"/>
        </w:rPr>
      </w:pPr>
      <w:r w:rsidRPr="00833E1D">
        <w:rPr>
          <w:rFonts w:ascii="Arial" w:eastAsia="Garamond" w:hAnsi="Arial" w:cs="Arial"/>
          <w:color w:val="000000"/>
        </w:rPr>
        <w:t xml:space="preserve">Para além dessas questões, compreender em que nível está acontecendo a separação entre a execução e concepção, em que nível está acontecendo a erosão da autonomia docente, em que aspectos se efetiva a retirada do controle curricular das mãos do professor e sua transferência para especialistas ou para uma esfera externa à escola. É preciso voltar o olhar ao que está no coração do trabalho docente. Isso é importante por que reconduz as análises novamente para a perspectiva sócio histórica no sentido de compreender como e de que forma as mudanças que estão acontecendo na escola, interfere, altera, modifica, conforma, determina ou não o trabalho do professor.  </w:t>
      </w:r>
      <w:bookmarkEnd w:id="1"/>
    </w:p>
    <w:p w14:paraId="1763AE22" w14:textId="77777777" w:rsidR="00155BBC" w:rsidRDefault="00155BBC" w:rsidP="00FC222B">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b/>
          <w:bCs/>
          <w:color w:val="000000"/>
        </w:rPr>
      </w:pPr>
    </w:p>
    <w:p w14:paraId="34EB89F0" w14:textId="77777777" w:rsidR="00096205" w:rsidRPr="00FC222B"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b/>
          <w:bCs/>
          <w:color w:val="000000"/>
        </w:rPr>
      </w:pPr>
      <w:r w:rsidRPr="00FC222B">
        <w:rPr>
          <w:rFonts w:ascii="Arial" w:eastAsia="Garamond" w:hAnsi="Arial" w:cs="Arial"/>
          <w:b/>
          <w:bCs/>
          <w:color w:val="000000"/>
        </w:rPr>
        <w:t xml:space="preserve">REFERÊNCIAS </w:t>
      </w:r>
    </w:p>
    <w:p w14:paraId="4B178325"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 </w:t>
      </w:r>
    </w:p>
    <w:p w14:paraId="600EFCCE"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APPLE, Michel </w:t>
      </w:r>
      <w:proofErr w:type="gramStart"/>
      <w:r w:rsidRPr="00833E1D">
        <w:rPr>
          <w:rFonts w:ascii="Arial" w:eastAsia="Garamond" w:hAnsi="Arial" w:cs="Arial"/>
          <w:color w:val="000000"/>
        </w:rPr>
        <w:t>W..</w:t>
      </w:r>
      <w:proofErr w:type="gramEnd"/>
      <w:r w:rsidRPr="00833E1D">
        <w:rPr>
          <w:rFonts w:ascii="Arial" w:eastAsia="Garamond" w:hAnsi="Arial" w:cs="Arial"/>
          <w:color w:val="000000"/>
        </w:rPr>
        <w:t xml:space="preserve"> Trabalho docente e textos: economia política das relações de classe e de gênero em educação. Porto Alegre: Artes Médicas, 1995. </w:t>
      </w:r>
    </w:p>
    <w:p w14:paraId="3A0546EC"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ASSUNÇÃO, Ada A; OLIVEIRA, Dalila A. Intensificação do trabalho e saúde dos professores. Educação &amp; Sociedade, vol. 30, n. 107, p. 349-372, maio/ago. 2009. </w:t>
      </w:r>
    </w:p>
    <w:p w14:paraId="777EAEA3"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AZZI, Sandra. Trabalho docente: autonomia didática e construção do saber pedagógico. In: PIMENTA, Selma Garrido (Org.). Saberes pedagógicos e atividade docente. São Paulo: Cortez, 2000. </w:t>
      </w:r>
    </w:p>
    <w:p w14:paraId="51FE9A6D"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CATANI. D. B. [et.al]. Docência, memoria e gênero: estudos sobre a formação. 4ª ed. São Paulo: Escrituras Editora, 2000. </w:t>
      </w:r>
    </w:p>
    <w:p w14:paraId="2F772123"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CODO, W. (Coord.). Educação e carinho. São Paulo: Vozes, CNTE e UNB, 1999 </w:t>
      </w:r>
    </w:p>
    <w:p w14:paraId="083F17E1"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COSTA, M.V. Trabalho Docente e profissionalismo. Porto Alegre: Sulina, 1995. </w:t>
      </w:r>
    </w:p>
    <w:p w14:paraId="7783D63F"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ENGUITA, Mariano Fernandez. A ambiguidade da docência: entre o profissionalismo e a proletarização. Teoria e Educação, n.4, “Dossiê: interpretando o trabalho docente”, p. 41-61, Porto Alegre, 1991. </w:t>
      </w:r>
    </w:p>
    <w:p w14:paraId="17BF21FB"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HYPOLITO, Álvaro L. M. Trabalho docente, classe social e gênero. Campinas: Papirus, </w:t>
      </w:r>
    </w:p>
    <w:p w14:paraId="1A874DA9"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HYPOLITO, Álvaro M.; VIEIRA, Jarbas S.; PIZZI, Laura C.V. Reestruturação curricular e auto intensificação do trabalho docente. Currículo sem Fronteiras, v. 9, p. 100-112, 2009. </w:t>
      </w:r>
    </w:p>
    <w:p w14:paraId="53BB1E11"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OZGA, J. LAWN, M. O trabalho docente: Interpretando o processo de trabalho do ensino. Revista Teoria e Educação. n.4, “Dossiê: interpretando o trabalho docente”, p. 41-61, Porto Alegre, 1991. </w:t>
      </w:r>
    </w:p>
    <w:p w14:paraId="4C7D4B91"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LIMA, Elizabeth Miranda de. De aprendiz a mestre: trajetórias de construção do trabalho docente e da Identidade profissional. Tese de Doutorado. Pontifícia Universidade Católica de São Paulo, 2002. </w:t>
      </w:r>
    </w:p>
    <w:p w14:paraId="7DC8C7E6"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LOURO, G. L. Magistério de 1º grau: um trabalho de mulher. Educação &amp; realidade, Porto Alegre, v. 14, n. 2, </w:t>
      </w:r>
      <w:proofErr w:type="spellStart"/>
      <w:r w:rsidRPr="00833E1D">
        <w:rPr>
          <w:rFonts w:ascii="Arial" w:eastAsia="Garamond" w:hAnsi="Arial" w:cs="Arial"/>
          <w:color w:val="000000"/>
        </w:rPr>
        <w:t>jul</w:t>
      </w:r>
      <w:proofErr w:type="spellEnd"/>
      <w:r w:rsidRPr="00833E1D">
        <w:rPr>
          <w:rFonts w:ascii="Arial" w:eastAsia="Garamond" w:hAnsi="Arial" w:cs="Arial"/>
          <w:color w:val="000000"/>
        </w:rPr>
        <w:t xml:space="preserve">-dez, 1989. </w:t>
      </w:r>
    </w:p>
    <w:p w14:paraId="1AA9B4AC"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LOURO, </w:t>
      </w:r>
      <w:proofErr w:type="spellStart"/>
      <w:r w:rsidRPr="00833E1D">
        <w:rPr>
          <w:rFonts w:ascii="Arial" w:eastAsia="Garamond" w:hAnsi="Arial" w:cs="Arial"/>
          <w:color w:val="000000"/>
        </w:rPr>
        <w:t>G.</w:t>
      </w:r>
      <w:proofErr w:type="gramStart"/>
      <w:r w:rsidRPr="00833E1D">
        <w:rPr>
          <w:rFonts w:ascii="Arial" w:eastAsia="Garamond" w:hAnsi="Arial" w:cs="Arial"/>
          <w:color w:val="000000"/>
        </w:rPr>
        <w:t>L.Genero</w:t>
      </w:r>
      <w:proofErr w:type="spellEnd"/>
      <w:proofErr w:type="gramEnd"/>
      <w:r w:rsidRPr="00833E1D">
        <w:rPr>
          <w:rFonts w:ascii="Arial" w:eastAsia="Garamond" w:hAnsi="Arial" w:cs="Arial"/>
          <w:color w:val="000000"/>
        </w:rPr>
        <w:t xml:space="preserve"> e magistério: identidade, história, representação. In: CATANI, D. B. [et al.] </w:t>
      </w:r>
      <w:proofErr w:type="spellStart"/>
      <w:r w:rsidRPr="00833E1D">
        <w:rPr>
          <w:rFonts w:ascii="Arial" w:eastAsia="Garamond" w:hAnsi="Arial" w:cs="Arial"/>
          <w:color w:val="000000"/>
        </w:rPr>
        <w:t>Docencia</w:t>
      </w:r>
      <w:proofErr w:type="spellEnd"/>
      <w:r w:rsidRPr="00833E1D">
        <w:rPr>
          <w:rFonts w:ascii="Arial" w:eastAsia="Garamond" w:hAnsi="Arial" w:cs="Arial"/>
          <w:color w:val="000000"/>
        </w:rPr>
        <w:t xml:space="preserve">, memória e gênero: estudos sobre a formação. 4ª ed. São Paulo: Escrituras, 2003. </w:t>
      </w:r>
    </w:p>
    <w:p w14:paraId="7B84F689"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lastRenderedPageBreak/>
        <w:t>NÓVOA, A. (</w:t>
      </w:r>
      <w:proofErr w:type="spellStart"/>
      <w:r w:rsidRPr="00833E1D">
        <w:rPr>
          <w:rFonts w:ascii="Arial" w:eastAsia="Garamond" w:hAnsi="Arial" w:cs="Arial"/>
          <w:color w:val="000000"/>
        </w:rPr>
        <w:t>Coord</w:t>
      </w:r>
      <w:proofErr w:type="spellEnd"/>
      <w:r w:rsidRPr="00833E1D">
        <w:rPr>
          <w:rFonts w:ascii="Arial" w:eastAsia="Garamond" w:hAnsi="Arial" w:cs="Arial"/>
          <w:color w:val="000000"/>
        </w:rPr>
        <w:t xml:space="preserve">).  Os Professores e sua formação. Lisboa: Dom Quixote, 1995. </w:t>
      </w:r>
    </w:p>
    <w:p w14:paraId="36F2CD9F"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OLIVEIRA, Dalila; VIEIRA, Lívia F. (</w:t>
      </w:r>
      <w:proofErr w:type="spellStart"/>
      <w:r w:rsidRPr="00833E1D">
        <w:rPr>
          <w:rFonts w:ascii="Arial" w:eastAsia="Garamond" w:hAnsi="Arial" w:cs="Arial"/>
          <w:color w:val="000000"/>
        </w:rPr>
        <w:t>coord</w:t>
      </w:r>
      <w:proofErr w:type="spellEnd"/>
      <w:r w:rsidRPr="00833E1D">
        <w:rPr>
          <w:rFonts w:ascii="Arial" w:eastAsia="Garamond" w:hAnsi="Arial" w:cs="Arial"/>
          <w:color w:val="000000"/>
        </w:rPr>
        <w:t xml:space="preserve">). Trabalho docente na Educação Básica no Brasil. Belo Horizonte, 2010. </w:t>
      </w:r>
    </w:p>
    <w:p w14:paraId="1BC71D50"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PEIXOTO, Ana M. C. A história da feminização do magistério no Brasil: balanço e perspectiva de pesquisa. In: A escola e seus atores: educação e profissão docente. Belo Horizonte: Autêntica, 2005. </w:t>
      </w:r>
    </w:p>
    <w:p w14:paraId="40BC43A7"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PUCCI, B.; OLIVEIRA, N. R.; SGUISSARD, V. O processo de proletarização dos trabalhadores. Teoria &amp; Educação, Porto Alegre, n.4, p.91-108, 1991. </w:t>
      </w:r>
    </w:p>
    <w:p w14:paraId="117C4359"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SAMPAIO, M. das M. F.; MARIN, A. J. Precarização do trabalho docente e seus efeitos sobre as práticas curriculares. Educ. </w:t>
      </w:r>
      <w:proofErr w:type="spellStart"/>
      <w:r w:rsidRPr="00833E1D">
        <w:rPr>
          <w:rFonts w:ascii="Arial" w:eastAsia="Garamond" w:hAnsi="Arial" w:cs="Arial"/>
          <w:color w:val="000000"/>
        </w:rPr>
        <w:t>Soc</w:t>
      </w:r>
      <w:proofErr w:type="spellEnd"/>
      <w:r w:rsidRPr="00833E1D">
        <w:rPr>
          <w:rFonts w:ascii="Arial" w:eastAsia="Garamond" w:hAnsi="Arial" w:cs="Arial"/>
          <w:color w:val="000000"/>
        </w:rPr>
        <w:t xml:space="preserve">, Campinas, vol. 25, n. 89, p. 1203-1225, set./dez. 2004. </w:t>
      </w:r>
    </w:p>
    <w:p w14:paraId="67307376"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SCOTT, Joan </w:t>
      </w:r>
      <w:proofErr w:type="spellStart"/>
      <w:r w:rsidRPr="00833E1D">
        <w:rPr>
          <w:rFonts w:ascii="Arial" w:eastAsia="Garamond" w:hAnsi="Arial" w:cs="Arial"/>
          <w:color w:val="000000"/>
        </w:rPr>
        <w:t>Wallach</w:t>
      </w:r>
      <w:proofErr w:type="spellEnd"/>
      <w:r w:rsidRPr="00833E1D">
        <w:rPr>
          <w:rFonts w:ascii="Arial" w:eastAsia="Garamond" w:hAnsi="Arial" w:cs="Arial"/>
          <w:color w:val="000000"/>
        </w:rPr>
        <w:t xml:space="preserve">. Gênero: uma categoria útil de análise histórica. Educação &amp; Realidade. Porto Alegre, vol. 20, nº 2, jul./dez. 1995, p. 71-99. </w:t>
      </w:r>
    </w:p>
    <w:p w14:paraId="48CA76AB"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color w:val="000000"/>
        </w:rPr>
      </w:pPr>
      <w:r w:rsidRPr="00833E1D">
        <w:rPr>
          <w:rFonts w:ascii="Arial" w:eastAsia="Garamond" w:hAnsi="Arial" w:cs="Arial"/>
          <w:color w:val="000000"/>
        </w:rPr>
        <w:t xml:space="preserve">VICENTINI. P.P História da Profissão Docente no Brasil: representações em disputa. São Paulo: Cortez, 2009. </w:t>
      </w:r>
    </w:p>
    <w:p w14:paraId="1A37612E" w14:textId="77777777" w:rsidR="00096205" w:rsidRPr="00833E1D" w:rsidRDefault="00096205" w:rsidP="00096205">
      <w:pPr>
        <w:pBdr>
          <w:top w:val="nil"/>
          <w:left w:val="nil"/>
          <w:bottom w:val="nil"/>
          <w:right w:val="nil"/>
          <w:between w:val="nil"/>
        </w:pBdr>
        <w:tabs>
          <w:tab w:val="left" w:pos="9000"/>
          <w:tab w:val="left" w:pos="9240"/>
        </w:tabs>
        <w:spacing w:before="240" w:after="0" w:line="240" w:lineRule="auto"/>
        <w:jc w:val="both"/>
        <w:rPr>
          <w:rFonts w:ascii="Arial" w:eastAsia="Garamond" w:hAnsi="Arial" w:cs="Arial"/>
          <w:i/>
          <w:color w:val="000000"/>
        </w:rPr>
      </w:pPr>
      <w:r w:rsidRPr="00833E1D">
        <w:rPr>
          <w:rFonts w:ascii="Arial" w:eastAsia="Garamond" w:hAnsi="Arial" w:cs="Arial"/>
          <w:color w:val="000000"/>
        </w:rPr>
        <w:t>VILLELA, H.O.O mestre-escola e a professora, In: Lopes, E.M. T; FARIA FILHO, L.M. E VEIGA, C. G. (</w:t>
      </w:r>
      <w:proofErr w:type="spellStart"/>
      <w:r w:rsidRPr="00833E1D">
        <w:rPr>
          <w:rFonts w:ascii="Arial" w:eastAsia="Garamond" w:hAnsi="Arial" w:cs="Arial"/>
          <w:color w:val="000000"/>
        </w:rPr>
        <w:t>Orgs</w:t>
      </w:r>
      <w:proofErr w:type="spellEnd"/>
      <w:r w:rsidRPr="00833E1D">
        <w:rPr>
          <w:rFonts w:ascii="Arial" w:eastAsia="Garamond" w:hAnsi="Arial" w:cs="Arial"/>
          <w:color w:val="000000"/>
        </w:rPr>
        <w:t xml:space="preserve">) 500 anos de Educação no Brasil. 2ª ed. Belo Horizonte: Autentica, 200.  </w:t>
      </w:r>
    </w:p>
    <w:p w14:paraId="5997DA21" w14:textId="77777777" w:rsidR="00096205" w:rsidRPr="00FC222B" w:rsidRDefault="00096205" w:rsidP="00096205">
      <w:pPr>
        <w:spacing w:after="0" w:line="240" w:lineRule="auto"/>
        <w:ind w:firstLine="708"/>
        <w:jc w:val="both"/>
        <w:rPr>
          <w:rFonts w:ascii="Arial" w:eastAsia="Garamond" w:hAnsi="Arial" w:cs="Arial"/>
          <w:b/>
          <w:bCs/>
          <w:color w:val="000000"/>
        </w:rPr>
      </w:pPr>
    </w:p>
    <w:p w14:paraId="48381B9A" w14:textId="4631FB63" w:rsidR="00D548DE" w:rsidRPr="00CD67C2" w:rsidRDefault="00D548DE" w:rsidP="00FC222B">
      <w:pPr>
        <w:spacing w:after="0" w:line="240" w:lineRule="auto"/>
        <w:jc w:val="both"/>
        <w:rPr>
          <w:rFonts w:ascii="Arial" w:hAnsi="Arial" w:cs="Arial"/>
        </w:rPr>
      </w:pPr>
    </w:p>
    <w:sectPr w:rsidR="00D548DE" w:rsidRPr="00CD67C2" w:rsidSect="00442A4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CB57" w14:textId="77777777" w:rsidR="00E75BC2" w:rsidRDefault="00E75BC2" w:rsidP="00442A47">
      <w:pPr>
        <w:spacing w:after="0" w:line="240" w:lineRule="auto"/>
      </w:pPr>
      <w:r>
        <w:separator/>
      </w:r>
    </w:p>
  </w:endnote>
  <w:endnote w:type="continuationSeparator" w:id="0">
    <w:p w14:paraId="7BEAB48E" w14:textId="77777777" w:rsidR="00E75BC2" w:rsidRDefault="00E75BC2"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6B85" w14:textId="77777777" w:rsidR="00E75BC2" w:rsidRDefault="00E75BC2" w:rsidP="00442A47">
      <w:pPr>
        <w:spacing w:after="0" w:line="240" w:lineRule="auto"/>
      </w:pPr>
      <w:r>
        <w:separator/>
      </w:r>
    </w:p>
  </w:footnote>
  <w:footnote w:type="continuationSeparator" w:id="0">
    <w:p w14:paraId="09CF658E" w14:textId="77777777" w:rsidR="00E75BC2" w:rsidRDefault="00E75BC2"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C5157"/>
    <w:multiLevelType w:val="hybridMultilevel"/>
    <w:tmpl w:val="97F892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7467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158D4"/>
    <w:rsid w:val="00073CE9"/>
    <w:rsid w:val="00096205"/>
    <w:rsid w:val="000D34B8"/>
    <w:rsid w:val="00114785"/>
    <w:rsid w:val="00155BBC"/>
    <w:rsid w:val="001E5151"/>
    <w:rsid w:val="001F4920"/>
    <w:rsid w:val="002B01CF"/>
    <w:rsid w:val="0038180B"/>
    <w:rsid w:val="003B7209"/>
    <w:rsid w:val="00412020"/>
    <w:rsid w:val="00442A47"/>
    <w:rsid w:val="004E4F0D"/>
    <w:rsid w:val="00595A5D"/>
    <w:rsid w:val="00664C2B"/>
    <w:rsid w:val="00707DBF"/>
    <w:rsid w:val="007D7CA8"/>
    <w:rsid w:val="007F5C85"/>
    <w:rsid w:val="008203D6"/>
    <w:rsid w:val="00886864"/>
    <w:rsid w:val="008B3108"/>
    <w:rsid w:val="00903A33"/>
    <w:rsid w:val="00904A8B"/>
    <w:rsid w:val="00905EB5"/>
    <w:rsid w:val="00A340AC"/>
    <w:rsid w:val="00A345C6"/>
    <w:rsid w:val="00AC463E"/>
    <w:rsid w:val="00B914A4"/>
    <w:rsid w:val="00C21B9E"/>
    <w:rsid w:val="00CD54ED"/>
    <w:rsid w:val="00CD67C2"/>
    <w:rsid w:val="00D24E43"/>
    <w:rsid w:val="00D548DE"/>
    <w:rsid w:val="00DB083C"/>
    <w:rsid w:val="00E75BC2"/>
    <w:rsid w:val="00ED6394"/>
    <w:rsid w:val="00F61195"/>
    <w:rsid w:val="00FC222B"/>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A345C6"/>
    <w:rPr>
      <w:color w:val="467886" w:themeColor="hyperlink"/>
      <w:u w:val="single"/>
    </w:rPr>
  </w:style>
  <w:style w:type="character" w:styleId="MenoPendente">
    <w:name w:val="Unresolved Mention"/>
    <w:basedOn w:val="Fontepargpadro"/>
    <w:uiPriority w:val="99"/>
    <w:semiHidden/>
    <w:unhideWhenUsed/>
    <w:rsid w:val="00A3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lamenezes1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2105</Words>
  <Characters>11370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Cámala Menezes</cp:lastModifiedBy>
  <cp:revision>8</cp:revision>
  <dcterms:created xsi:type="dcterms:W3CDTF">2025-03-14T16:47:00Z</dcterms:created>
  <dcterms:modified xsi:type="dcterms:W3CDTF">2025-03-16T04:27:00Z</dcterms:modified>
</cp:coreProperties>
</file>