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F708" w14:textId="77777777" w:rsidR="0000269C" w:rsidRPr="00601C76" w:rsidRDefault="0000269C" w:rsidP="0000269C">
      <w:pPr>
        <w:jc w:val="center"/>
        <w:rPr>
          <w:rFonts w:ascii="Times New Roman" w:hAnsi="Times New Roman"/>
          <w:b/>
        </w:rPr>
      </w:pPr>
      <w:r w:rsidRPr="00601C76">
        <w:rPr>
          <w:rFonts w:ascii="Times New Roman" w:hAnsi="Times New Roman"/>
          <w:b/>
        </w:rPr>
        <w:t>Resumo</w:t>
      </w:r>
    </w:p>
    <w:p w14:paraId="4D7AD455" w14:textId="77777777" w:rsidR="0000269C" w:rsidRPr="00AB6876" w:rsidRDefault="0000269C" w:rsidP="000026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876">
        <w:rPr>
          <w:rFonts w:ascii="Times New Roman" w:hAnsi="Times New Roman"/>
          <w:sz w:val="24"/>
          <w:szCs w:val="24"/>
        </w:rPr>
        <w:t xml:space="preserve">A transição energética é um processo fundamental para enfrentar os desafios ambientais e garantir um futuro sustentável. No entanto, sua implementação requer recursos financeiros significativos. O trabalho tem como objetivo analisar o papel do financiamento na transição energética, analisando os desafios e oportunidades associados às finanças verdes. Discutimos as diferentes abordagens de finanças verdes e como este mercado está se desenvolvendo </w:t>
      </w:r>
      <w:r>
        <w:rPr>
          <w:rFonts w:ascii="Times New Roman" w:hAnsi="Times New Roman"/>
          <w:sz w:val="24"/>
          <w:szCs w:val="24"/>
        </w:rPr>
        <w:t xml:space="preserve">no âmbito </w:t>
      </w:r>
      <w:r w:rsidRPr="00AB6876">
        <w:rPr>
          <w:rFonts w:ascii="Times New Roman" w:hAnsi="Times New Roman"/>
          <w:sz w:val="24"/>
          <w:szCs w:val="24"/>
        </w:rPr>
        <w:t xml:space="preserve">nacional e internacional. Além disso, abordamos as iniciativas governamentais, </w:t>
      </w:r>
      <w:r>
        <w:rPr>
          <w:rFonts w:ascii="Times New Roman" w:hAnsi="Times New Roman"/>
          <w:sz w:val="24"/>
          <w:szCs w:val="24"/>
        </w:rPr>
        <w:t xml:space="preserve">em termos </w:t>
      </w:r>
      <w:r w:rsidRPr="00AB6876">
        <w:rPr>
          <w:rFonts w:ascii="Times New Roman" w:hAnsi="Times New Roman"/>
          <w:sz w:val="24"/>
          <w:szCs w:val="24"/>
        </w:rPr>
        <w:t>de incentivo e regulamentação, que objetivam desenvolver e aprimorar o financiamento necessário para a viabilização da transição energética. A hipótese central do artigo é que os mecanismos de mercado por si só são insuficientes para atender o desafio do financiamento da transição energética, uma vez que que este processo irá demandar investimentos de montante elevados, de longa maturação e sujeitos à incerteza.</w:t>
      </w:r>
    </w:p>
    <w:p w14:paraId="7C30A667" w14:textId="77777777" w:rsidR="0000269C" w:rsidRPr="00AB6876" w:rsidRDefault="0000269C" w:rsidP="000026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876">
        <w:rPr>
          <w:rFonts w:ascii="Times New Roman" w:hAnsi="Times New Roman"/>
          <w:sz w:val="24"/>
          <w:szCs w:val="24"/>
        </w:rPr>
        <w:t xml:space="preserve"> </w:t>
      </w:r>
    </w:p>
    <w:p w14:paraId="716CC257" w14:textId="77777777" w:rsidR="0000269C" w:rsidRPr="00AB6876" w:rsidRDefault="0000269C" w:rsidP="000026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6876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AB6876">
        <w:rPr>
          <w:rFonts w:ascii="Times New Roman" w:hAnsi="Times New Roman"/>
          <w:sz w:val="24"/>
          <w:szCs w:val="24"/>
        </w:rPr>
        <w:t>Transição Energética, Financiamento, Inovação.</w:t>
      </w:r>
    </w:p>
    <w:p w14:paraId="5F41E14D" w14:textId="77777777" w:rsidR="008F3D58" w:rsidRDefault="008F3D58"/>
    <w:sectPr w:rsidR="008F3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9C"/>
    <w:rsid w:val="0000269C"/>
    <w:rsid w:val="00383BA3"/>
    <w:rsid w:val="008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5949"/>
  <w15:chartTrackingRefBased/>
  <w15:docId w15:val="{5ED91F6B-CC0C-4ADF-A1BC-16451E5B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9C"/>
    <w:pPr>
      <w:spacing w:after="80" w:line="240" w:lineRule="auto"/>
    </w:pPr>
    <w:rPr>
      <w:rFonts w:ascii="Calibri" w:eastAsia="Times New Roman" w:hAnsi="Calibri" w:cs="Times New Roman"/>
      <w:kern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>ELETROBRAS - CENTRAIS ELETRICAS BRASILEIRAS S.A.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Rinaldi Meyer</dc:creator>
  <cp:keywords/>
  <dc:description/>
  <cp:lastModifiedBy>Tiago Rinaldi Meyer</cp:lastModifiedBy>
  <cp:revision>1</cp:revision>
  <dcterms:created xsi:type="dcterms:W3CDTF">2024-03-09T11:10:00Z</dcterms:created>
  <dcterms:modified xsi:type="dcterms:W3CDTF">2024-03-09T11:11:00Z</dcterms:modified>
</cp:coreProperties>
</file>