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142" w:right="0" w:firstLine="0"/>
        <w:jc w:val="both"/>
        <w:rPr>
          <w:b/>
          <w:i/>
          <w:sz w:val="22"/>
        </w:rPr>
      </w:pPr>
      <w:r>
        <w:rPr>
          <w:b/>
          <w:i/>
          <w:color w:val="2E74B4"/>
          <w:sz w:val="22"/>
        </w:rPr>
        <w:t>RESUMO</w:t>
      </w:r>
      <w:r>
        <w:rPr>
          <w:b/>
          <w:i/>
          <w:color w:val="2E74B4"/>
          <w:spacing w:val="-9"/>
          <w:sz w:val="22"/>
        </w:rPr>
        <w:t> </w:t>
      </w:r>
      <w:r>
        <w:rPr>
          <w:b/>
          <w:i/>
          <w:color w:val="2E74B4"/>
          <w:sz w:val="22"/>
        </w:rPr>
        <w:t>SIMPLES</w:t>
      </w:r>
      <w:r>
        <w:rPr>
          <w:b/>
          <w:i/>
          <w:color w:val="2E74B4"/>
          <w:spacing w:val="-8"/>
          <w:sz w:val="22"/>
        </w:rPr>
        <w:t> </w:t>
      </w:r>
      <w:r>
        <w:rPr>
          <w:b/>
          <w:i/>
          <w:color w:val="2E74B4"/>
          <w:spacing w:val="-2"/>
          <w:sz w:val="22"/>
        </w:rPr>
        <w:t>REGIONAL</w:t>
      </w:r>
    </w:p>
    <w:p>
      <w:pPr>
        <w:pStyle w:val="Title"/>
        <w:tabs>
          <w:tab w:pos="1982" w:val="left" w:leader="none"/>
          <w:tab w:pos="8660" w:val="left" w:leader="none"/>
        </w:tabs>
      </w:pPr>
      <w:r>
        <w:rPr>
          <w:rFonts w:ascii="Times New Roman" w:hAnsi="Times New Roman"/>
          <w:b w:val="0"/>
          <w:color w:val="000000"/>
          <w:shd w:fill="FFBF00" w:color="auto" w:val="clear"/>
        </w:rPr>
        <w:tab/>
      </w:r>
      <w:r>
        <w:rPr>
          <w:color w:val="000000"/>
          <w:spacing w:val="-2"/>
          <w:shd w:fill="FFBF00" w:color="auto" w:val="clear"/>
        </w:rPr>
        <w:t>MANEJO</w:t>
      </w:r>
      <w:r>
        <w:rPr>
          <w:color w:val="000000"/>
          <w:spacing w:val="-5"/>
          <w:shd w:fill="FFBF00" w:color="auto" w:val="clear"/>
        </w:rPr>
        <w:t> </w:t>
      </w:r>
      <w:r>
        <w:rPr>
          <w:color w:val="000000"/>
          <w:spacing w:val="-2"/>
          <w:shd w:fill="FFBF00" w:color="auto" w:val="clear"/>
        </w:rPr>
        <w:t>DA SEPSE</w:t>
      </w:r>
      <w:r>
        <w:rPr>
          <w:color w:val="000000"/>
          <w:spacing w:val="-3"/>
          <w:shd w:fill="FFBF00" w:color="auto" w:val="clear"/>
        </w:rPr>
        <w:t> </w:t>
      </w:r>
      <w:r>
        <w:rPr>
          <w:color w:val="000000"/>
          <w:spacing w:val="-2"/>
          <w:shd w:fill="FFBF00" w:color="auto" w:val="clear"/>
        </w:rPr>
        <w:t>NEONATAL: DESAFIOS</w:t>
      </w:r>
      <w:r>
        <w:rPr>
          <w:color w:val="000000"/>
          <w:spacing w:val="-3"/>
          <w:shd w:fill="FFBF00" w:color="auto" w:val="clear"/>
        </w:rPr>
        <w:t> </w:t>
      </w:r>
      <w:r>
        <w:rPr>
          <w:color w:val="000000"/>
          <w:spacing w:val="-2"/>
          <w:shd w:fill="FFBF00" w:color="auto" w:val="clear"/>
        </w:rPr>
        <w:t>E AVANÇOS</w:t>
      </w:r>
      <w:r>
        <w:rPr>
          <w:color w:val="000000"/>
          <w:shd w:fill="FFBF00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8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Anna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Gabriella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Françoise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Brauer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Souza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5">
        <w:r>
          <w:rPr>
            <w:i/>
            <w:color w:val="0462C1"/>
            <w:spacing w:val="-2"/>
            <w:sz w:val="18"/>
            <w:u w:val="thick" w:color="0462C1"/>
          </w:rPr>
          <w:t>Gabifrancoise.20@gmail.com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Faculdade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Saúde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Santo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Agostinho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Vitória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Conquista</w:t>
      </w:r>
      <w:r>
        <w:rPr>
          <w:i/>
          <w:spacing w:val="-2"/>
          <w:sz w:val="18"/>
        </w:rPr>
        <w:t> </w:t>
      </w:r>
      <w:r>
        <w:rPr>
          <w:i/>
          <w:spacing w:val="-5"/>
          <w:sz w:val="18"/>
        </w:rPr>
        <w:t>BA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Ana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Caroline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Gomes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Miranda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Linhares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6">
        <w:r>
          <w:rPr>
            <w:i/>
            <w:color w:val="0462C1"/>
            <w:spacing w:val="-2"/>
            <w:sz w:val="18"/>
            <w:u w:val="thick" w:color="0462C1"/>
          </w:rPr>
          <w:t>linharesanacaroline@gmail.com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Afya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Faculdade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 Ciências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Médicas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 </w:t>
      </w:r>
      <w:r>
        <w:rPr>
          <w:i/>
          <w:spacing w:val="-2"/>
          <w:sz w:val="18"/>
        </w:rPr>
        <w:t>Paraíba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Giovanna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Alves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Lima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Vieira</w:t>
      </w:r>
    </w:p>
    <w:p>
      <w:pPr>
        <w:spacing w:before="0"/>
        <w:ind w:left="142" w:right="5976" w:firstLine="0"/>
        <w:jc w:val="left"/>
        <w:rPr>
          <w:i/>
          <w:sz w:val="18"/>
        </w:rPr>
      </w:pPr>
      <w:hyperlink r:id="rId7">
        <w:r>
          <w:rPr>
            <w:i/>
            <w:color w:val="0462C1"/>
            <w:spacing w:val="-2"/>
            <w:sz w:val="18"/>
            <w:u w:val="thick" w:color="0462C1"/>
          </w:rPr>
          <w:t>Giovanna.alves.vieira@outlook.com</w:t>
        </w:r>
      </w:hyperlink>
      <w:r>
        <w:rPr>
          <w:i/>
          <w:color w:val="0462C1"/>
          <w:sz w:val="18"/>
        </w:rPr>
        <w:t> </w:t>
      </w:r>
      <w:r>
        <w:rPr>
          <w:i/>
          <w:spacing w:val="-2"/>
          <w:sz w:val="18"/>
        </w:rPr>
        <w:t>UniRV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José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Arthur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Sousa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Ferreira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8">
        <w:r>
          <w:rPr>
            <w:i/>
            <w:color w:val="0462C1"/>
            <w:spacing w:val="-2"/>
            <w:sz w:val="18"/>
            <w:u w:val="thick" w:color="0462C1"/>
          </w:rPr>
          <w:t>Artur.ferreira519@gmail.com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Faculdade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Ciências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Médicas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Afya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Jaboatão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Guararapes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Vitória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Correia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Pessôa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Santos</w:t>
      </w:r>
    </w:p>
    <w:p>
      <w:pPr>
        <w:spacing w:before="0"/>
        <w:ind w:left="142" w:right="5976" w:firstLine="0"/>
        <w:jc w:val="left"/>
        <w:rPr>
          <w:i/>
          <w:sz w:val="18"/>
        </w:rPr>
      </w:pPr>
      <w:hyperlink r:id="rId9">
        <w:r>
          <w:rPr>
            <w:i/>
            <w:color w:val="0462C1"/>
            <w:spacing w:val="-2"/>
            <w:sz w:val="18"/>
            <w:u w:val="thick" w:color="0462C1"/>
          </w:rPr>
          <w:t>Vitpessoas34@gmail.com</w:t>
        </w:r>
      </w:hyperlink>
      <w:r>
        <w:rPr>
          <w:i/>
          <w:color w:val="0462C1"/>
          <w:sz w:val="18"/>
        </w:rPr>
        <w:t> </w:t>
      </w:r>
      <w:r>
        <w:rPr>
          <w:i/>
          <w:spacing w:val="-2"/>
          <w:sz w:val="18"/>
        </w:rPr>
        <w:t>UNINASSAU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142" w:right="5696" w:firstLine="360"/>
        <w:jc w:val="left"/>
        <w:rPr>
          <w:i/>
          <w:sz w:val="18"/>
        </w:rPr>
      </w:pPr>
      <w:r>
        <w:rPr>
          <w:i/>
          <w:sz w:val="22"/>
        </w:rPr>
        <w:t>Klariana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Viveiros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Lima </w:t>
      </w:r>
      <w:hyperlink r:id="rId10">
        <w:r>
          <w:rPr>
            <w:i/>
            <w:color w:val="0462C1"/>
            <w:spacing w:val="-2"/>
            <w:sz w:val="18"/>
            <w:u w:val="thick" w:color="0462C1"/>
          </w:rPr>
          <w:t>Adv.klarianaviveiros@gmail.com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Faculdade ZARNS medicina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142" w:right="5960" w:firstLine="360"/>
        <w:jc w:val="left"/>
        <w:rPr>
          <w:i/>
          <w:sz w:val="18"/>
        </w:rPr>
      </w:pPr>
      <w:r>
        <w:rPr>
          <w:i/>
          <w:sz w:val="22"/>
        </w:rPr>
        <w:t>Maria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Aline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Chaves </w:t>
      </w:r>
      <w:hyperlink r:id="rId11">
        <w:r>
          <w:rPr>
            <w:i/>
            <w:color w:val="0462C1"/>
            <w:spacing w:val="-2"/>
            <w:sz w:val="18"/>
            <w:u w:val="thick" w:color="0462C1"/>
          </w:rPr>
          <w:t>212098@sempre.unifacig.edu.br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Centro Universitário UNIFACIG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Camille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Cantarelli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Fofonka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2">
        <w:r>
          <w:rPr>
            <w:i/>
            <w:color w:val="0462C1"/>
            <w:spacing w:val="-2"/>
            <w:sz w:val="18"/>
            <w:u w:val="thick" w:color="0462C1"/>
          </w:rPr>
          <w:t>camillecantarellif@gmail.com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Unisul </w:t>
      </w:r>
      <w:r>
        <w:rPr>
          <w:i/>
          <w:spacing w:val="-2"/>
          <w:sz w:val="18"/>
        </w:rPr>
        <w:t>Tubarão</w:t>
      </w:r>
    </w:p>
    <w:p>
      <w:pPr>
        <w:pStyle w:val="BodyText"/>
        <w:ind w:left="0" w:right="0" w:firstLine="0"/>
        <w:jc w:val="left"/>
        <w:rPr>
          <w:i/>
          <w:sz w:val="18"/>
        </w:rPr>
      </w:pPr>
    </w:p>
    <w:p>
      <w:pPr>
        <w:pStyle w:val="BodyText"/>
        <w:spacing w:before="11"/>
        <w:ind w:left="0" w:right="0" w:firstLine="0"/>
        <w:jc w:val="left"/>
        <w:rPr>
          <w:i/>
          <w:sz w:val="18"/>
        </w:rPr>
      </w:pPr>
    </w:p>
    <w:p>
      <w:pPr>
        <w:pStyle w:val="BodyText"/>
        <w:spacing w:line="259" w:lineRule="auto"/>
        <w:ind w:left="142" w:firstLine="0"/>
      </w:pPr>
      <w:r>
        <w:rPr>
          <w:b/>
        </w:rPr>
        <w:t>Introdução</w:t>
      </w:r>
      <w:r>
        <w:rPr/>
        <w:t>: A sepse neonatal é uma condição clínica grave, caracterizada por uma resposta inflamatória sistêmica a</w:t>
      </w:r>
      <w:r>
        <w:rPr>
          <w:spacing w:val="-9"/>
        </w:rPr>
        <w:t> </w:t>
      </w:r>
      <w:r>
        <w:rPr/>
        <w:t>infecções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recém-nascidos,</w:t>
      </w:r>
      <w:r>
        <w:rPr>
          <w:spacing w:val="-9"/>
        </w:rPr>
        <w:t> </w:t>
      </w:r>
      <w:r>
        <w:rPr/>
        <w:t>podendo</w:t>
      </w:r>
      <w:r>
        <w:rPr>
          <w:spacing w:val="-9"/>
        </w:rPr>
        <w:t> </w:t>
      </w:r>
      <w:r>
        <w:rPr/>
        <w:t>resultar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disfunção</w:t>
      </w:r>
      <w:r>
        <w:rPr>
          <w:spacing w:val="-9"/>
        </w:rPr>
        <w:t> </w:t>
      </w:r>
      <w:r>
        <w:rPr/>
        <w:t>orgânica e óbito. Sua incidência varia de 1 a 8 casos a cada 1.000 nascimentos, com taxas de mortalidade entre 10% e 50%, dependendo da gravidade e do tempo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início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tratamento. Neonatos prematuros e com baixo peso ao nascer apresentam maior risco. A sepse pode ser causada por agentes bacterianos como </w:t>
      </w:r>
      <w:r>
        <w:rPr>
          <w:i/>
        </w:rPr>
        <w:t>Staphylococcus aureus</w:t>
      </w:r>
      <w:r>
        <w:rPr/>
        <w:t>, </w:t>
      </w:r>
      <w:r>
        <w:rPr>
          <w:i/>
        </w:rPr>
        <w:t>Escherichia coli</w:t>
      </w:r>
      <w:r>
        <w:rPr/>
        <w:t>, </w:t>
      </w:r>
      <w:r>
        <w:rPr>
          <w:i/>
        </w:rPr>
        <w:t>Streptococcus do grupo B </w:t>
      </w:r>
      <w:r>
        <w:rPr/>
        <w:t>e </w:t>
      </w:r>
      <w:r>
        <w:rPr>
          <w:i/>
        </w:rPr>
        <w:t>Klebsiella pneumoniae</w:t>
      </w:r>
      <w:r>
        <w:rPr/>
        <w:t>, além de vírus como herpes simplex e citomegalovírus. Fatores de risco incluem prematuridade, ruptura prolongada das membranas e infecções maternas. O quadro clínico manifesta-se com sinais como hipotermia ou febre, irritabilidade, dificuldade respiratória,</w:t>
      </w:r>
      <w:r>
        <w:rPr>
          <w:spacing w:val="-9"/>
        </w:rPr>
        <w:t> </w:t>
      </w:r>
      <w:r>
        <w:rPr/>
        <w:t>alterações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frequência</w:t>
      </w:r>
      <w:r>
        <w:rPr>
          <w:spacing w:val="-9"/>
        </w:rPr>
        <w:t> </w:t>
      </w:r>
      <w:r>
        <w:rPr/>
        <w:t>cardíaca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distúrbios</w:t>
      </w:r>
      <w:r>
        <w:rPr>
          <w:spacing w:val="-9"/>
        </w:rPr>
        <w:t> </w:t>
      </w:r>
      <w:r>
        <w:rPr/>
        <w:t>alimentares.</w:t>
      </w:r>
      <w:r>
        <w:rPr>
          <w:spacing w:val="-9"/>
        </w:rPr>
        <w:t> </w:t>
      </w:r>
      <w:r>
        <w:rPr>
          <w:b/>
        </w:rPr>
        <w:t>Objetivo:</w:t>
      </w:r>
      <w:r>
        <w:rPr>
          <w:b/>
          <w:spacing w:val="-9"/>
        </w:rPr>
        <w:t> </w:t>
      </w:r>
      <w:r>
        <w:rPr/>
        <w:t>O presente estudo tem como objetivo analisar os desafios e avanços no manejo da sepse neonatal. </w:t>
      </w:r>
      <w:r>
        <w:rPr>
          <w:b/>
        </w:rPr>
        <w:t>Metodologia</w:t>
      </w:r>
      <w:r>
        <w:rPr/>
        <w:t>: Foi realizada uma revisão integrativa para analisar os desafios e avanços no manejo da sepse neonatal. As bases de dados PUBMED, LATINDEX e SciELO</w:t>
      </w:r>
      <w:r>
        <w:rPr>
          <w:spacing w:val="-6"/>
        </w:rPr>
        <w:t> </w:t>
      </w:r>
      <w:r>
        <w:rPr/>
        <w:t>foram consultadas, incluindo artigos completos,</w:t>
      </w:r>
      <w:r>
        <w:rPr>
          <w:spacing w:val="-7"/>
        </w:rPr>
        <w:t> </w:t>
      </w:r>
      <w:r>
        <w:rPr/>
        <w:t>experimentais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não,</w:t>
      </w:r>
      <w:r>
        <w:rPr>
          <w:spacing w:val="-7"/>
        </w:rPr>
        <w:t> </w:t>
      </w:r>
      <w:r>
        <w:rPr/>
        <w:t>publicados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2020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2024, em inglês, espanhol e português. A estratégia PICO foi: "</w:t>
      </w:r>
      <w:r>
        <w:rPr>
          <w:i/>
        </w:rPr>
        <w:t>Quais os</w:t>
      </w:r>
      <w:r>
        <w:rPr>
          <w:i/>
          <w:spacing w:val="-4"/>
        </w:rPr>
        <w:t> </w:t>
      </w:r>
      <w:r>
        <w:rPr>
          <w:i/>
        </w:rPr>
        <w:t>avanços</w:t>
      </w:r>
      <w:r>
        <w:rPr>
          <w:i/>
          <w:spacing w:val="-4"/>
        </w:rPr>
        <w:t> </w:t>
      </w:r>
      <w:r>
        <w:rPr>
          <w:i/>
        </w:rPr>
        <w:t>no</w:t>
      </w:r>
      <w:r>
        <w:rPr>
          <w:i/>
          <w:spacing w:val="-4"/>
        </w:rPr>
        <w:t> </w:t>
      </w:r>
      <w:r>
        <w:rPr>
          <w:i/>
        </w:rPr>
        <w:t>manejo</w:t>
      </w:r>
      <w:r>
        <w:rPr>
          <w:i/>
          <w:spacing w:val="-4"/>
        </w:rPr>
        <w:t> </w:t>
      </w:r>
      <w:r>
        <w:rPr>
          <w:i/>
        </w:rPr>
        <w:t>da</w:t>
      </w:r>
      <w:r>
        <w:rPr>
          <w:i/>
          <w:spacing w:val="-4"/>
        </w:rPr>
        <w:t> </w:t>
      </w:r>
      <w:r>
        <w:rPr>
          <w:i/>
        </w:rPr>
        <w:t>sepse neonatal em neonatos prematuros e de baixo peso</w:t>
      </w:r>
      <w:r>
        <w:rPr/>
        <w:t>?" Os Descritores em Ciências da Saúde (DeCS) utilizados foram: "Sepse neonatal", "Manejo", "Tratamento antibiótico".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critérios</w:t>
      </w:r>
      <w:r>
        <w:rPr>
          <w:spacing w:val="-8"/>
        </w:rPr>
        <w:t> </w:t>
      </w:r>
      <w:r>
        <w:rPr/>
        <w:t>de inclusão foram artigos relevantes, gratuitos e completos. Excluíram-se revisões, estudos com amostras não neonatais e artigos fora do período de publicação definido. Ao final, foram aplicados 11 artigos. </w:t>
      </w:r>
      <w:r>
        <w:rPr>
          <w:b/>
        </w:rPr>
        <w:t>Resultados</w:t>
      </w:r>
      <w:r>
        <w:rPr/>
        <w:t>: O manejo da sepse neonatal requer uma abordagem sistemática e imediata para otimizar os resultados. A avaliação inicial deve ser centrada na identificação precoce dos sinais clínicos, seguida pela realização de exames laboratoriais essenciais, como hemoculturas, hemograma e marcadores inflamatórios, para confirmar a presença de infecção. O tratamento antibiótico empírico deve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iniciado</w:t>
      </w:r>
      <w:r>
        <w:rPr>
          <w:spacing w:val="-6"/>
        </w:rPr>
        <w:t> </w:t>
      </w:r>
      <w:r>
        <w:rPr/>
        <w:t>sem</w:t>
      </w:r>
      <w:r>
        <w:rPr>
          <w:spacing w:val="-6"/>
        </w:rPr>
        <w:t> </w:t>
      </w:r>
      <w:r>
        <w:rPr/>
        <w:t>demora,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</w:p>
    <w:p>
      <w:pPr>
        <w:pStyle w:val="BodyText"/>
        <w:spacing w:after="0" w:line="259" w:lineRule="auto"/>
        <w:sectPr>
          <w:type w:val="continuous"/>
          <w:pgSz w:w="11920" w:h="16840"/>
          <w:pgMar w:top="1380" w:bottom="280" w:left="1559" w:right="1559"/>
        </w:sectPr>
      </w:pPr>
    </w:p>
    <w:p>
      <w:pPr>
        <w:pStyle w:val="BodyText"/>
        <w:spacing w:line="259" w:lineRule="auto" w:before="41"/>
        <w:ind w:left="142" w:firstLine="0"/>
      </w:pPr>
      <w:r>
        <w:rPr/>
        <w:t>uso de antibióticos de amplo espectro, como ampicilina e gentamicina, logo após a</w:t>
      </w:r>
      <w:r>
        <w:rPr>
          <w:spacing w:val="-5"/>
        </w:rPr>
        <w:t> </w:t>
      </w:r>
      <w:r>
        <w:rPr/>
        <w:t>coleta</w:t>
      </w:r>
      <w:r>
        <w:rPr>
          <w:spacing w:val="-5"/>
        </w:rPr>
        <w:t> </w:t>
      </w:r>
      <w:r>
        <w:rPr/>
        <w:t>das hemoculturas. Em paralelo, o suporte intensivo é fundamental, envolvendo monitorização hemodinâmica contínua,</w:t>
      </w:r>
      <w:r>
        <w:rPr>
          <w:spacing w:val="-7"/>
        </w:rPr>
        <w:t> </w:t>
      </w:r>
      <w:r>
        <w:rPr/>
        <w:t>suporte</w:t>
      </w:r>
      <w:r>
        <w:rPr>
          <w:spacing w:val="-7"/>
        </w:rPr>
        <w:t> </w:t>
      </w:r>
      <w:r>
        <w:rPr/>
        <w:t>ventilatório,</w:t>
      </w:r>
      <w:r>
        <w:rPr>
          <w:spacing w:val="-7"/>
        </w:rPr>
        <w:t> </w:t>
      </w:r>
      <w:r>
        <w:rPr/>
        <w:t>quando</w:t>
      </w:r>
      <w:r>
        <w:rPr>
          <w:spacing w:val="-7"/>
        </w:rPr>
        <w:t> </w:t>
      </w:r>
      <w:r>
        <w:rPr/>
        <w:t>indicado,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manejo</w:t>
      </w:r>
      <w:r>
        <w:rPr>
          <w:spacing w:val="-7"/>
        </w:rPr>
        <w:t> </w:t>
      </w:r>
      <w:r>
        <w:rPr/>
        <w:t>adequado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fluidos. A reavaliação constante do paciente é imprescindível, ajustando o tratamento com base nos resultados das culturas e na resposta clínica observada. Essa abordagem dinâmica visa controlar a infecção e prevenir</w:t>
      </w:r>
      <w:r>
        <w:rPr>
          <w:spacing w:val="-7"/>
        </w:rPr>
        <w:t> </w:t>
      </w:r>
      <w:r>
        <w:rPr/>
        <w:t>complicações,</w:t>
      </w:r>
      <w:r>
        <w:rPr>
          <w:spacing w:val="-7"/>
        </w:rPr>
        <w:t> </w:t>
      </w:r>
      <w:r>
        <w:rPr/>
        <w:t>melhorando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sobrevida</w:t>
      </w:r>
      <w:r>
        <w:rPr>
          <w:spacing w:val="-7"/>
        </w:rPr>
        <w:t> </w:t>
      </w:r>
      <w:r>
        <w:rPr/>
        <w:t>neonatal.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agilidade</w:t>
      </w:r>
      <w:r>
        <w:rPr>
          <w:spacing w:val="-7"/>
        </w:rPr>
        <w:t> </w:t>
      </w:r>
      <w:r>
        <w:rPr/>
        <w:t>no diagnóstico e na implementação das medidas</w:t>
      </w:r>
      <w:r>
        <w:rPr>
          <w:spacing w:val="-6"/>
        </w:rPr>
        <w:t> </w:t>
      </w:r>
      <w:r>
        <w:rPr/>
        <w:t>terapêuticas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crucial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reduzir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mortalidade associada à sepse neonatal. </w:t>
      </w:r>
      <w:r>
        <w:rPr>
          <w:b/>
        </w:rPr>
        <w:t>Conclusão</w:t>
      </w:r>
      <w:r>
        <w:rPr/>
        <w:t>: Os avanços no manejo da sepse neonatal têm mostrado progressos, especialmente com a introdução de novos protocolos de tratamento e suporte intensivo. No entanto, desafios como a resistência antimicrobiana e a identificação precoce de sinais clínicos continuam a impactar as taxas de mortalidade. A revisão destaca a importância de mais estudos sobre tratamentos antibióticos empíricos e a personalização da abordagem terapêutica, especialmente em neonatos de risco. Assim, pesquisas contínuas são essenciais para aprimorar as estratégias de manejo, visando reduzir a mortalidade e</w:t>
      </w:r>
      <w:r>
        <w:rPr>
          <w:spacing w:val="-5"/>
        </w:rPr>
        <w:t> </w:t>
      </w:r>
      <w:r>
        <w:rPr/>
        <w:t>melhorar os desfechos.</w:t>
      </w:r>
    </w:p>
    <w:p>
      <w:pPr>
        <w:spacing w:line="400" w:lineRule="auto" w:before="156"/>
        <w:ind w:left="142" w:right="3881" w:firstLine="0"/>
        <w:jc w:val="both"/>
        <w:rPr>
          <w:sz w:val="22"/>
        </w:rPr>
      </w:pPr>
      <w:r>
        <w:rPr>
          <w:b/>
          <w:sz w:val="22"/>
        </w:rPr>
        <w:t>Palavras-chave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sepse</w:t>
      </w:r>
      <w:r>
        <w:rPr>
          <w:spacing w:val="-12"/>
          <w:sz w:val="22"/>
        </w:rPr>
        <w:t> </w:t>
      </w:r>
      <w:r>
        <w:rPr>
          <w:sz w:val="22"/>
        </w:rPr>
        <w:t>neonatal,</w:t>
      </w:r>
      <w:r>
        <w:rPr>
          <w:spacing w:val="-13"/>
          <w:sz w:val="22"/>
        </w:rPr>
        <w:t> </w:t>
      </w:r>
      <w:r>
        <w:rPr>
          <w:sz w:val="22"/>
        </w:rPr>
        <w:t>manejo,</w:t>
      </w:r>
      <w:r>
        <w:rPr>
          <w:spacing w:val="-12"/>
          <w:sz w:val="22"/>
        </w:rPr>
        <w:t> </w:t>
      </w:r>
      <w:r>
        <w:rPr>
          <w:sz w:val="22"/>
        </w:rPr>
        <w:t>antibióticos. </w:t>
      </w:r>
      <w:r>
        <w:rPr>
          <w:spacing w:val="-2"/>
          <w:sz w:val="22"/>
        </w:rPr>
        <w:t>Referências: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3" w:after="0"/>
        <w:ind w:left="862" w:right="157" w:hanging="360"/>
        <w:jc w:val="both"/>
        <w:rPr>
          <w:sz w:val="22"/>
        </w:rPr>
      </w:pPr>
      <w:r>
        <w:rPr>
          <w:sz w:val="22"/>
        </w:rPr>
        <w:t>DOS SANTOS, Zandonaidy Matheus Alves; DE OLIVEIRA, Ana Paula Fernandes; SALES, Tallisson Matheus Oliveira. Sepse neonatal, avaliação do impacto: uma revisão integrativa. </w:t>
      </w:r>
      <w:r>
        <w:rPr>
          <w:b/>
          <w:sz w:val="22"/>
        </w:rPr>
        <w:t>Bionorte</w:t>
      </w:r>
      <w:r>
        <w:rPr>
          <w:sz w:val="22"/>
        </w:rPr>
        <w:t>, v. 9, n. 1, p. 47-58, 2020.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6" w:hanging="360"/>
        <w:jc w:val="both"/>
        <w:rPr>
          <w:sz w:val="22"/>
        </w:rPr>
      </w:pPr>
      <w:r>
        <w:rPr>
          <w:sz w:val="22"/>
        </w:rPr>
        <w:t>GONZÁLEZ, Ollantay Johanson Barreto; TOVAR, Degly Carolina Baloa; LEÓN, Mirna María García.</w:t>
      </w:r>
      <w:r>
        <w:rPr>
          <w:spacing w:val="-7"/>
          <w:sz w:val="22"/>
        </w:rPr>
        <w:t> </w:t>
      </w:r>
      <w:r>
        <w:rPr>
          <w:sz w:val="22"/>
        </w:rPr>
        <w:t>Sepsis</w:t>
      </w:r>
      <w:r>
        <w:rPr>
          <w:spacing w:val="-7"/>
          <w:sz w:val="22"/>
        </w:rPr>
        <w:t> </w:t>
      </w:r>
      <w:r>
        <w:rPr>
          <w:sz w:val="22"/>
        </w:rPr>
        <w:t>neonatal:</w:t>
      </w:r>
      <w:r>
        <w:rPr>
          <w:spacing w:val="-7"/>
          <w:sz w:val="22"/>
        </w:rPr>
        <w:t> </w:t>
      </w:r>
      <w:r>
        <w:rPr>
          <w:sz w:val="22"/>
        </w:rPr>
        <w:t>epidemiología.</w:t>
      </w:r>
      <w:r>
        <w:rPr>
          <w:spacing w:val="-7"/>
          <w:sz w:val="22"/>
        </w:rPr>
        <w:t> </w:t>
      </w:r>
      <w:r>
        <w:rPr>
          <w:b/>
          <w:sz w:val="22"/>
        </w:rPr>
        <w:t>Revista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Postgrado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v.</w:t>
      </w:r>
      <w:r>
        <w:rPr>
          <w:spacing w:val="-7"/>
          <w:sz w:val="22"/>
        </w:rPr>
        <w:t> </w:t>
      </w:r>
      <w:r>
        <w:rPr>
          <w:sz w:val="22"/>
        </w:rPr>
        <w:t>9,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z w:val="22"/>
        </w:rPr>
        <w:t>1,</w:t>
      </w:r>
      <w:r>
        <w:rPr>
          <w:spacing w:val="-7"/>
          <w:sz w:val="22"/>
        </w:rPr>
        <w:t> </w:t>
      </w:r>
      <w:r>
        <w:rPr>
          <w:sz w:val="22"/>
        </w:rPr>
        <w:t>p. e192-e192, 2020.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62" w:hanging="360"/>
        <w:jc w:val="both"/>
        <w:rPr>
          <w:sz w:val="22"/>
        </w:rPr>
      </w:pPr>
      <w:r>
        <w:rPr>
          <w:sz w:val="22"/>
        </w:rPr>
        <w:t>PÉREZ MORALES, Ledys et al. Factores de riesgo y microorganismos aislados en pacientes con sepsis neonatal. </w:t>
      </w:r>
      <w:r>
        <w:rPr>
          <w:b/>
          <w:sz w:val="22"/>
        </w:rPr>
        <w:t>Medisur</w:t>
      </w:r>
      <w:r>
        <w:rPr>
          <w:sz w:val="22"/>
        </w:rPr>
        <w:t>, v. 19, n. 1, p. 107-114, 2021.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65" w:hanging="360"/>
        <w:jc w:val="both"/>
        <w:rPr>
          <w:sz w:val="22"/>
        </w:rPr>
      </w:pPr>
      <w:r>
        <w:rPr>
          <w:sz w:val="22"/>
        </w:rPr>
        <w:t>PROCIANOY, Renato Soibelmann; SILVEIRA, Rita C. Os desafios no manejo da sepse neonatal. </w:t>
      </w:r>
      <w:r>
        <w:rPr>
          <w:b/>
          <w:sz w:val="22"/>
        </w:rPr>
        <w:t>Jornal de pediatria</w:t>
      </w:r>
      <w:r>
        <w:rPr>
          <w:sz w:val="22"/>
        </w:rPr>
        <w:t>, v. 96, p. 80-86, 2020.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5" w:hanging="360"/>
        <w:jc w:val="both"/>
        <w:rPr>
          <w:sz w:val="22"/>
        </w:rPr>
      </w:pPr>
      <w:r>
        <w:rPr>
          <w:sz w:val="22"/>
        </w:rPr>
        <w:t>ZARATE, Marcela Ortiz de et al. Prevalencia de sepsis neonatal confirmada microbiológicamente</w:t>
      </w:r>
      <w:r>
        <w:rPr>
          <w:spacing w:val="80"/>
          <w:sz w:val="22"/>
        </w:rPr>
        <w:t> </w:t>
      </w:r>
      <w:r>
        <w:rPr>
          <w:sz w:val="22"/>
        </w:rPr>
        <w:t>en</w:t>
      </w:r>
      <w:r>
        <w:rPr>
          <w:spacing w:val="80"/>
          <w:sz w:val="22"/>
        </w:rPr>
        <w:t> </w:t>
      </w:r>
      <w:r>
        <w:rPr>
          <w:sz w:val="22"/>
        </w:rPr>
        <w:t>una</w:t>
      </w:r>
      <w:r>
        <w:rPr>
          <w:spacing w:val="80"/>
          <w:sz w:val="22"/>
        </w:rPr>
        <w:t> </w:t>
      </w:r>
      <w:r>
        <w:rPr>
          <w:sz w:val="22"/>
        </w:rPr>
        <w:t>maternidad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Ciudad</w:t>
      </w:r>
      <w:r>
        <w:rPr>
          <w:spacing w:val="40"/>
          <w:sz w:val="22"/>
        </w:rPr>
        <w:t> </w:t>
      </w:r>
      <w:r>
        <w:rPr>
          <w:sz w:val="22"/>
        </w:rPr>
        <w:t>Autónoma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Buenos Aires. </w:t>
      </w:r>
      <w:r>
        <w:rPr>
          <w:b/>
          <w:sz w:val="22"/>
        </w:rPr>
        <w:t>Archivos argentinos de pediatría</w:t>
      </w:r>
      <w:r>
        <w:rPr>
          <w:sz w:val="22"/>
        </w:rPr>
        <w:t>, v. 121, n. 3, p. 8-8, 2023.</w:t>
      </w:r>
    </w:p>
    <w:sectPr>
      <w:pgSz w:w="11920" w:h="16840"/>
      <w:pgMar w:top="13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62" w:right="155" w:hanging="360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1"/>
      <w:ind w:left="141"/>
      <w:jc w:val="both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860" w:hanging="35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bifrancoise.20@gmail.com" TargetMode="External"/><Relationship Id="rId6" Type="http://schemas.openxmlformats.org/officeDocument/2006/relationships/hyperlink" Target="mailto:linharesanacaroline@gmail.com" TargetMode="External"/><Relationship Id="rId7" Type="http://schemas.openxmlformats.org/officeDocument/2006/relationships/hyperlink" Target="mailto:Giovanna.alves.vieira@outlook.com" TargetMode="External"/><Relationship Id="rId8" Type="http://schemas.openxmlformats.org/officeDocument/2006/relationships/hyperlink" Target="mailto:Artur.ferreira519@gmail.com" TargetMode="External"/><Relationship Id="rId9" Type="http://schemas.openxmlformats.org/officeDocument/2006/relationships/hyperlink" Target="mailto:Vitpessoas34@gmail.com" TargetMode="External"/><Relationship Id="rId10" Type="http://schemas.openxmlformats.org/officeDocument/2006/relationships/hyperlink" Target="mailto:Adv.klarianaviveiros@gmail.com" TargetMode="External"/><Relationship Id="rId11" Type="http://schemas.openxmlformats.org/officeDocument/2006/relationships/hyperlink" Target="mailto:212098@sempre.unifacig.edu.br" TargetMode="External"/><Relationship Id="rId12" Type="http://schemas.openxmlformats.org/officeDocument/2006/relationships/hyperlink" Target="mailto:camillecantarellif@gmail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2024-12-24T05:38:54Z</dcterms:created>
  <dcterms:modified xsi:type="dcterms:W3CDTF">2024-12-24T05:38:54Z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iLovePDF</vt:lpwstr>
  </property>
</Properties>
</file>