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 w:before="12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INCLUSÃO DE MONENSINA E ÓLEO ESSENCIAL DE ORÉGANO NA SUPLEMENTAÇÃO DE BOVINOS A PASTO</w:t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</w:t>
      </w:r>
    </w:p>
    <w:p>
      <w:pPr>
        <w:pStyle w:val="Normal"/>
        <w:spacing w:lineRule="auto" w:line="36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LIMA</w:t>
      </w:r>
      <w:r>
        <w:rPr>
          <w:rFonts w:eastAsia="Arial" w:cs="Arial" w:ascii="Arial" w:hAnsi="Arial"/>
          <w:sz w:val="24"/>
          <w:szCs w:val="24"/>
        </w:rPr>
        <w:t>, Pedro Henrique Lopes</w:t>
      </w:r>
      <w:r>
        <w:rPr>
          <w:rStyle w:val="FootnoteReference"/>
          <w:rFonts w:eastAsia="Arial" w:cs="Arial" w:ascii="Arial" w:hAnsi="Arial"/>
          <w:sz w:val="24"/>
          <w:szCs w:val="24"/>
        </w:rPr>
        <w:footnoteReference w:id="2"/>
      </w:r>
      <w:r>
        <w:rPr>
          <w:rFonts w:eastAsia="Arial" w:cs="Arial" w:ascii="Arial" w:hAnsi="Arial"/>
          <w:sz w:val="24"/>
          <w:szCs w:val="24"/>
        </w:rPr>
        <w:t xml:space="preserve">;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SANTOS, </w:t>
      </w:r>
      <w:r>
        <w:rPr>
          <w:rFonts w:eastAsia="Arial" w:cs="Arial" w:ascii="Arial" w:hAnsi="Arial"/>
          <w:sz w:val="24"/>
          <w:szCs w:val="24"/>
        </w:rPr>
        <w:t xml:space="preserve">Eduardo Pereira¹; </w:t>
      </w:r>
      <w:r>
        <w:rPr>
          <w:rFonts w:eastAsia="Arial" w:cs="Arial" w:ascii="Arial" w:hAnsi="Arial"/>
          <w:b/>
          <w:bCs/>
          <w:sz w:val="24"/>
          <w:szCs w:val="24"/>
        </w:rPr>
        <w:t>COELHO</w:t>
      </w:r>
      <w:r>
        <w:rPr>
          <w:rFonts w:eastAsia="Arial" w:cs="Arial" w:ascii="Arial" w:hAnsi="Arial"/>
          <w:sz w:val="24"/>
          <w:szCs w:val="24"/>
        </w:rPr>
        <w:t xml:space="preserve">, Bárbara Pércya Lopes³; </w:t>
      </w:r>
      <w:r>
        <w:rPr>
          <w:rFonts w:eastAsia="Arial" w:cs="Arial" w:ascii="Arial" w:hAnsi="Arial"/>
          <w:b/>
          <w:sz w:val="24"/>
          <w:szCs w:val="24"/>
        </w:rPr>
        <w:t>Miotto</w:t>
      </w:r>
      <w:r>
        <w:rPr>
          <w:rFonts w:eastAsia="Arial" w:cs="Arial" w:ascii="Arial" w:hAnsi="Arial"/>
          <w:sz w:val="24"/>
          <w:szCs w:val="24"/>
        </w:rPr>
        <w:t>, Fabrícia Rocha Chaves</w:t>
      </w:r>
      <w:r>
        <w:rPr>
          <w:rStyle w:val="FootnoteReference"/>
          <w:rFonts w:eastAsia="Arial" w:cs="Arial" w:ascii="Arial" w:hAnsi="Arial"/>
          <w:sz w:val="24"/>
          <w:szCs w:val="24"/>
        </w:rPr>
        <w:footnoteReference w:id="3"/>
      </w:r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RESUMO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Objetivou-se com este estudo comparar o efeito da inclusão de óleo essencial de orégano e monensina no desempenho de garrotes Nelore em fase de recria em pastagem diferida de </w:t>
      </w:r>
      <w:r>
        <w:rPr>
          <w:rFonts w:eastAsia="Arial" w:cs="Arial" w:ascii="Arial" w:hAnsi="Arial"/>
          <w:i/>
          <w:iCs/>
          <w:sz w:val="24"/>
          <w:szCs w:val="24"/>
        </w:rPr>
        <w:t>Urochloa brizantha</w:t>
      </w:r>
      <w:r>
        <w:rPr>
          <w:rFonts w:eastAsia="Arial" w:cs="Arial" w:ascii="Arial" w:hAnsi="Arial"/>
          <w:sz w:val="24"/>
          <w:szCs w:val="24"/>
        </w:rPr>
        <w:t xml:space="preserve"> cv. Marandu com suplementação proteico-energético. Foram utilizados 24 garrotes Nelores com idade e peso vivo médios de 16 meses e 209 kg + 5,4, respectivamente, distribuídos em 12 piquetes com 0,33 ha totalizando área com 4 ha formados com capim </w:t>
      </w:r>
      <w:r>
        <w:rPr>
          <w:rFonts w:eastAsia="Arial" w:cs="Arial" w:ascii="Arial" w:hAnsi="Arial"/>
          <w:i/>
          <w:iCs/>
          <w:sz w:val="24"/>
          <w:szCs w:val="24"/>
        </w:rPr>
        <w:t>Urochloa brizantha</w:t>
      </w:r>
      <w:r>
        <w:rPr>
          <w:rFonts w:eastAsia="Arial" w:cs="Arial" w:ascii="Arial" w:hAnsi="Arial"/>
          <w:sz w:val="24"/>
          <w:szCs w:val="24"/>
        </w:rPr>
        <w:t xml:space="preserve"> cv. Marandu diferido por 45 dias. Os animais foram distribuídos em delineamento inteiramente casualizado com 3 repetições (piquetes) e quatro tratamentos: Controle: suplemento proteico-energético 5 g/kg por animal por dia, sem aditivo; Monensina: suplemento proteico-energético 5 g/kg" mg.kg de monensina; 3 g OEO: suplemento proteico-energético 5 g/kg com 3 g de óleo essencial de orégano (OEO); 6 g OEO: suplemento proteico-energético 5g/kg, com 6 g de OEO. O experimento teve duração de 84 dias, com períodos de 28 dias para avaliação de desempenho animal e disponibilidade de forragem. Não houve interação entre os tratamentos e os períodos (p&gt;0,05), assim como também não houve efeito dos tratamentos isolados (p&gt;0,05) em relação as características agronômicas da forragem diferida de </w:t>
      </w:r>
      <w:r>
        <w:rPr>
          <w:rFonts w:eastAsia="Arial" w:cs="Arial" w:ascii="Arial" w:hAnsi="Arial"/>
          <w:i/>
          <w:iCs/>
          <w:sz w:val="24"/>
          <w:szCs w:val="24"/>
        </w:rPr>
        <w:t>Urochloa brizantha</w:t>
      </w:r>
      <w:r>
        <w:rPr>
          <w:rFonts w:eastAsia="Arial" w:cs="Arial" w:ascii="Arial" w:hAnsi="Arial"/>
          <w:sz w:val="24"/>
          <w:szCs w:val="24"/>
        </w:rPr>
        <w:t xml:space="preserve"> cv. Marandu, não houve interação entre os tratamentos e períodos, nem efeito isolado dos tratamentos (p&gt;0,05) para as variáveis peso corporal, ganho de peso, ganho médio diário, produção de arrobas e lotação (p&gt;0,05). Contudo, houve efeito, dos períodos sobre todas as variáveis de desempenho (p&lt;0,05). Não há vantagens no uso dos aditivos monensina e óleo essencial de orégano na suplementação proteico-energético de bovinos recriados a pasto.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4"/>
          <w:szCs w:val="24"/>
        </w:rPr>
        <w:t>Palavras-chave</w:t>
      </w:r>
      <w:r>
        <w:rPr>
          <w:rFonts w:eastAsia="Arial" w:cs="Arial" w:ascii="Arial" w:hAnsi="Arial"/>
          <w:sz w:val="24"/>
          <w:szCs w:val="24"/>
        </w:rPr>
        <w:t xml:space="preserve">: Aditivo. Desempenho. Óleo essencial.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INTRODUÇÃO/JUSTIFICATIVA</w:t>
      </w:r>
    </w:p>
    <w:p>
      <w:pPr>
        <w:pStyle w:val="Normal"/>
        <w:spacing w:lineRule="auto" w:line="360" w:before="0" w:after="0"/>
        <w:ind w:firstLine="426"/>
        <w:jc w:val="both"/>
        <w:rPr>
          <w:highlight w:val="none"/>
          <w:shd w:fill="auto" w:val="clear"/>
        </w:rPr>
      </w:pPr>
      <w:r>
        <w:rPr>
          <w:rFonts w:eastAsia="Arial" w:cs="Arial" w:ascii="Arial" w:hAnsi="Arial"/>
          <w:sz w:val="24"/>
          <w:szCs w:val="24"/>
          <w:shd w:fill="auto" w:val="clear"/>
        </w:rPr>
        <w:t xml:space="preserve">A monensina é um aditivo ionóforo que tem por efeito modular o ambiente ruminal, otimizando a eficiência energética e, consequentemente, melhorando o desempenho animal (Matthews et al. 2019). Contudo, as respostas dispostas na literatura são inconsistentes em termos de desempenho animal (Vendramini et al. 2018), podendo sua inclusão na dieta diminuir o consumo do pasto e também a digestibilidade da fibra (Carvalho et al. 2017). </w:t>
      </w:r>
    </w:p>
    <w:p>
      <w:pPr>
        <w:pStyle w:val="Normal"/>
        <w:spacing w:lineRule="auto" w:line="360" w:before="0" w:after="0"/>
        <w:ind w:firstLine="426"/>
        <w:jc w:val="both"/>
        <w:rPr>
          <w:highlight w:val="none"/>
          <w:shd w:fill="auto" w:val="clear"/>
        </w:rPr>
      </w:pPr>
      <w:r>
        <w:rPr>
          <w:rFonts w:eastAsia="Arial" w:cs="Arial" w:ascii="Arial" w:hAnsi="Arial"/>
          <w:sz w:val="24"/>
          <w:szCs w:val="24"/>
          <w:shd w:fill="auto" w:val="clear"/>
        </w:rPr>
        <w:t>Tem-se buscado alternativas naturais com efeitos semelhantes aos ionóforos, com isso, os óleos essenciais (OEs) têm sido amplamente estudados por terem ação semelhante (Rivaroli et al., 2016). São compostos líquidos, voláteis e lipofílicos, extraídos por hidrodestilação ou vapordestilação de diversas plantas. São denominados “essenciais” por darem sabor e cheiro característico às plantas (Torres et al., 2021).</w:t>
      </w:r>
    </w:p>
    <w:p>
      <w:pPr>
        <w:pStyle w:val="Normal"/>
        <w:spacing w:lineRule="auto" w:line="360" w:before="0" w:after="0"/>
        <w:ind w:firstLine="426"/>
        <w:jc w:val="both"/>
        <w:rPr>
          <w:highlight w:val="none"/>
          <w:shd w:fill="auto" w:val="clear"/>
        </w:rPr>
      </w:pPr>
      <w:r>
        <w:rPr>
          <w:rFonts w:eastAsia="Arial" w:cs="Arial" w:ascii="Arial" w:hAnsi="Arial"/>
          <w:sz w:val="24"/>
          <w:szCs w:val="24"/>
          <w:shd w:fill="auto" w:val="clear"/>
        </w:rPr>
        <w:t xml:space="preserve">O óleo essencial de orégano (OEO), aditivo avaliado neste trabalho, possui ações antimicrobianas, antifúngicas e antioxidantes. Contém um cheiro característico por ter carvacrol em sua composição química (Burt, 2004). Tendo efeito modulador da microbiota ruminal, alterando as concentrações dos ácidos graxos ruminais (Busquet et al., 2006).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OBJETIVO</w:t>
      </w:r>
    </w:p>
    <w:p>
      <w:pPr>
        <w:pStyle w:val="Normal"/>
        <w:spacing w:lineRule="auto" w:line="360" w:before="12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bookmarkStart w:id="0" w:name="_heading=h.2et92p0"/>
      <w:bookmarkEnd w:id="0"/>
      <w:r>
        <w:rPr>
          <w:rFonts w:eastAsia="Arial" w:cs="Arial" w:ascii="Arial" w:hAnsi="Arial"/>
          <w:sz w:val="24"/>
          <w:szCs w:val="24"/>
        </w:rPr>
        <w:t>Avaliar o efeito da inclusão dos aditivos monensina e óleo essencial de orégano na suplementação de bovinos recriados no período seco em pastagem diferida</w:t>
      </w:r>
      <w:bookmarkStart w:id="1" w:name="_heading=h.57ss0gnajsm5"/>
      <w:bookmarkEnd w:id="1"/>
      <w:r>
        <w:rPr>
          <w:rFonts w:eastAsia="Arial" w:cs="Arial" w:ascii="Arial" w:hAnsi="Arial"/>
          <w:sz w:val="24"/>
          <w:szCs w:val="24"/>
        </w:rPr>
        <w:t xml:space="preserve"> sobre o desempenho.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METODOLOGIA</w:t>
      </w:r>
    </w:p>
    <w:p>
      <w:pPr>
        <w:pStyle w:val="Normal"/>
        <w:spacing w:lineRule="auto" w:line="36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bookmarkStart w:id="2" w:name="_heading=h.tyjcwt"/>
      <w:bookmarkEnd w:id="2"/>
      <w:r>
        <w:rPr>
          <w:rFonts w:eastAsia="Arial" w:cs="Arial" w:ascii="Arial" w:hAnsi="Arial"/>
          <w:sz w:val="24"/>
          <w:szCs w:val="24"/>
        </w:rPr>
        <w:t xml:space="preserve">Realizou-se o experimento no Centro de Ciências Agrárias da Universidade Federal do Norte de Tocantins, Araguaína, Tocantins – Brasil. No período de seca do ano, entre os meses de julho a outubro de 2022. A área de pastagem era formada com </w:t>
      </w:r>
      <w:r>
        <w:rPr>
          <w:rFonts w:eastAsia="Arial" w:cs="Arial" w:ascii="Arial" w:hAnsi="Arial"/>
          <w:i/>
          <w:sz w:val="24"/>
          <w:szCs w:val="24"/>
        </w:rPr>
        <w:t>Urochloa brizantha</w:t>
      </w:r>
      <w:r>
        <w:rPr>
          <w:rFonts w:eastAsia="Arial" w:cs="Arial" w:ascii="Arial" w:hAnsi="Arial"/>
          <w:sz w:val="24"/>
          <w:szCs w:val="24"/>
        </w:rPr>
        <w:t xml:space="preserve"> cv. Marandu diferida por 45 dias. O período experimental teve duração de 84 dias, divididos em três períodos com 28 dias cada.    </w:t>
      </w:r>
    </w:p>
    <w:p>
      <w:pPr>
        <w:pStyle w:val="Normal"/>
        <w:spacing w:lineRule="auto" w:line="36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Utilizou-se 24 bovinos machos Nelore com idade e peso médio de 16 ± 3 meses, 209 ± 5,4 kg, distribuídos em 12 piquetes de 0,33 ha, com dois animais por piquete em lotação fixa. Os tratamentos foram: Controle: suplemento proteico-energético 5 g/kg</w:t>
      </w:r>
      <w:r>
        <w:rPr>
          <w:rFonts w:eastAsia="Arial" w:cs="Arial" w:ascii="Arial" w:hAnsi="Arial"/>
          <w:sz w:val="24"/>
          <w:szCs w:val="24"/>
          <w:vertAlign w:val="superscript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de peso corporal (PC), sem aditivo; Monensina: suplemento proteico-energético 5 g/kg</w:t>
      </w:r>
      <w:r>
        <w:rPr>
          <w:rFonts w:eastAsia="Arial" w:cs="Arial" w:ascii="Arial" w:hAnsi="Arial"/>
          <w:sz w:val="24"/>
          <w:szCs w:val="24"/>
          <w:vertAlign w:val="superscript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PC, com 60 mg/kg de monensina; 3 g Óleo essencial de orégano (OEO): suplemento proteico-energético 5 g/kg</w:t>
      </w:r>
      <w:r>
        <w:rPr>
          <w:rFonts w:eastAsia="Arial" w:cs="Arial" w:ascii="Arial" w:hAnsi="Arial"/>
          <w:sz w:val="24"/>
          <w:szCs w:val="24"/>
          <w:vertAlign w:val="superscript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PC com 3 g OEO; 6 g OEO: suplemento proteico-energético 5 g/kg PC, com 6 g de OEO. Os animais foram pesados a cada ciclo e avaliada a disponibilidade de forragem. Foi tomada a altura média do dossel forrageiro, para determinar a massa de forragem total (MSFT). Utilizou-se a lâmina foliar do capim e amostras do suplemento proteico-energético para análises químico-bromatológicas (Tabela 1).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529"/>
        <w:gridCol w:w="1388"/>
        <w:gridCol w:w="1386"/>
        <w:gridCol w:w="1191"/>
        <w:gridCol w:w="1191"/>
        <w:gridCol w:w="1384"/>
      </w:tblGrid>
      <w:tr>
        <w:trPr/>
        <w:tc>
          <w:tcPr>
            <w:tcW w:w="9069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ind w:right="-111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Tabela 1-Composição químico-bromatológica do suplemento proteico-energético durante o período experimental de avaliação dos aditivos óleo essencial de orégano e monensina na suplementação de bovinos Nelore a pasto</w:t>
            </w:r>
          </w:p>
        </w:tc>
      </w:tr>
      <w:tr>
        <w:trPr/>
        <w:tc>
          <w:tcPr>
            <w:tcW w:w="2529" w:type="dxa"/>
            <w:vMerge w:val="restart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Tratamentos</w:t>
            </w:r>
          </w:p>
        </w:tc>
        <w:tc>
          <w:tcPr>
            <w:tcW w:w="654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Componente, g.kg</w:t>
            </w:r>
            <w:r>
              <w:rPr>
                <w:rFonts w:eastAsia="Arial" w:cs="Arial" w:ascii="Arial" w:hAnsi="Arial"/>
                <w:sz w:val="24"/>
                <w:szCs w:val="24"/>
                <w:vertAlign w:val="superscript"/>
              </w:rPr>
              <w:t xml:space="preserve">-1 </w:t>
            </w:r>
            <w:r>
              <w:rPr>
                <w:rFonts w:eastAsia="Arial" w:cs="Arial" w:ascii="Arial" w:hAnsi="Arial"/>
                <w:sz w:val="24"/>
                <w:szCs w:val="24"/>
              </w:rPr>
              <w:t>MS</w:t>
            </w:r>
          </w:p>
        </w:tc>
      </w:tr>
      <w:tr>
        <w:trPr>
          <w:trHeight w:val="260" w:hRule="atLeast"/>
        </w:trPr>
        <w:tc>
          <w:tcPr>
            <w:tcW w:w="2529" w:type="dxa"/>
            <w:vMerge w:val="continue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MS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PB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FDN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FDA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MO</w:t>
            </w:r>
          </w:p>
        </w:tc>
      </w:tr>
      <w:tr>
        <w:trPr/>
        <w:tc>
          <w:tcPr>
            <w:tcW w:w="2529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ind w:right="-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Com monensina</w:t>
            </w:r>
          </w:p>
        </w:tc>
        <w:tc>
          <w:tcPr>
            <w:tcW w:w="138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898,34</w:t>
            </w:r>
          </w:p>
        </w:tc>
        <w:tc>
          <w:tcPr>
            <w:tcW w:w="1386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182,81</w:t>
            </w:r>
          </w:p>
        </w:tc>
        <w:tc>
          <w:tcPr>
            <w:tcW w:w="119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92,95</w:t>
            </w:r>
          </w:p>
        </w:tc>
        <w:tc>
          <w:tcPr>
            <w:tcW w:w="119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17,36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876,43</w:t>
            </w:r>
          </w:p>
        </w:tc>
      </w:tr>
      <w:tr>
        <w:trPr/>
        <w:tc>
          <w:tcPr>
            <w:tcW w:w="2529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ind w:right="-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Sem monensina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915,84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185,17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88,31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16,24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right="-28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924,96</w:t>
            </w:r>
          </w:p>
        </w:tc>
      </w:tr>
      <w:tr>
        <w:trPr/>
        <w:tc>
          <w:tcPr>
            <w:tcW w:w="9069" w:type="dxa"/>
            <w:gridSpan w:val="6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color w:val="695D46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MS – matéria seca; PB – proteína bruta; FDN – fibra em detergente neutro; FDA - fibra em detergente ácido.</w:t>
            </w:r>
          </w:p>
        </w:tc>
      </w:tr>
    </w:tbl>
    <w:p>
      <w:pPr>
        <w:pStyle w:val="Normal"/>
        <w:spacing w:lineRule="auto" w:line="360" w:before="120" w:after="0"/>
        <w:ind w:first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Adotou-se o delineamento inteiramente casualizado com quatro tratamentos e três repetições (piquetes).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Os dados foram submetidos aos testes de normalidade de erro (Shapiro Wilks) e homocedasticidade de variância (Levene). Foi utilizado o procedimento Mixed do software estatístico SAS</w:t>
      </w:r>
      <w:r>
        <w:rPr>
          <w:rFonts w:eastAsia="Arial" w:cs="Arial" w:ascii="Arial" w:hAnsi="Arial"/>
          <w:sz w:val="24"/>
          <w:szCs w:val="24"/>
          <w:vertAlign w:val="superscript"/>
        </w:rPr>
        <w:t>®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As dietas foram consideradas efeitos fixos e os piquetes como aleatórios. Para comparação das médias utilizou-se o teste Tukey, nível de significância de 5%.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RESULTADOS E DISCUSSÃO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Observou-se uma redução na MSFT (p=0,01) e disponibilidade de lâmina foliar (p&lt;0,01), seguida de queda na proteína bruta (p&lt;0,01) no último ciclo de pastejo do) capim Marandu diferido (Figura 1).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rFonts w:ascii="Arial" w:hAnsi="Arial" w:eastAsia="Arial" w:cs="Arial"/>
          <w:b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507365</wp:posOffset>
            </wp:positionH>
            <wp:positionV relativeFrom="paragraph">
              <wp:posOffset>806450</wp:posOffset>
            </wp:positionV>
            <wp:extent cx="4829810" cy="2268220"/>
            <wp:effectExtent l="0" t="0" r="0" b="0"/>
            <wp:wrapTopAndBottom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0"/>
        <w:ind w:left="426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Figura 1 – Massa seca de forragem total (MSFT) (p=0,01), disponibilidade de lâmina foliar (p&lt;0,01) e proteína bruta (PB) (p&lt;0,01) do capim Marandu diferido no decorrer dos ciclos de pastejo de bovinos machos Nelore recriados com suplemento proteico-energético.</w:t>
      </w:r>
    </w:p>
    <w:p>
      <w:pPr>
        <w:pStyle w:val="Normal"/>
        <w:spacing w:lineRule="auto" w:line="360" w:before="0" w:after="0"/>
        <w:ind w:firstLine="426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426"/>
        <w:jc w:val="both"/>
        <w:rPr>
          <w:highlight w:val="none"/>
          <w:shd w:fill="auto" w:val="clear"/>
        </w:rPr>
      </w:pPr>
      <w:r>
        <w:rPr>
          <w:rFonts w:eastAsia="Arial" w:cs="Arial" w:ascii="Arial" w:hAnsi="Arial"/>
          <w:sz w:val="24"/>
          <w:szCs w:val="24"/>
          <w:shd w:fill="auto" w:val="clear"/>
        </w:rPr>
        <w:t xml:space="preserve">Na Tabela 2, independente do aditivo incluído na dieta, os animais apresentaram o mesmo comportamento de crescimento durante o período experimental (p&gt;0,05). Contudo, mesmo não havendo efeito dos aditivos, observou-se aumento do peso dos animais no decorrer do período experimental (p&lt;0,001). A baixa qualidade nutricional do pasto e a quantidade de suplemento ofertado aos animais limitaram a disponibilidade de substratos fazendo com que os efeitos dos aditivos avaliados não fossem expressos, (Moriel et al., 2019). De acordo com Beck et al. (2014), a inclusão da monensina na suplementação a pasto pode contribuir com o desempenho animal, contudo, o nível de suplementação pode ter influência na efetividade do seu uso, já que o suplemento concentrado disponibiliza substratos para a fermentação ruminal. </w:t>
      </w:r>
    </w:p>
    <w:p>
      <w:pPr>
        <w:pStyle w:val="Normal"/>
        <w:spacing w:lineRule="auto" w:line="360" w:before="0" w:after="0"/>
        <w:ind w:firstLine="426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shd w:fill="auto" w:val="clear"/>
        </w:rPr>
        <w:t>O uso de OEO ou monensina não influenciou o ganho médio diário (p=0,41), observando maior desempenho dos animais nos dois primeiros ciclos de pastejo (p&lt;0,05, Tabela 3). A queda no desempenho dos animais no terceiro ciclo</w:t>
      </w:r>
      <w:r>
        <w:rPr>
          <w:rFonts w:eastAsia="Arial" w:cs="Arial" w:ascii="Arial" w:hAnsi="Arial"/>
          <w:sz w:val="24"/>
          <w:szCs w:val="24"/>
        </w:rPr>
        <w:t xml:space="preserve"> experimental deve-se a redução da MSFT, com redução também de lâmina foliar e também do baixo valor nutricional da forrageira (Figura 1), restringindo o consumo de matéria seca. O objetivo da suplementação para animais em pastagem no período seco é adequar e suprir o possível baixo valor nutricional da forragem, contribuindo no desenvolvimento de bactérias fibrolíticas e auxiliar na eficiência da degradação da fibra para um melhor aproveitamento da forragem (</w:t>
      </w:r>
      <w:r>
        <w:rPr>
          <w:rFonts w:eastAsia="Arial" w:cs="Arial" w:ascii="Arial" w:hAnsi="Arial"/>
          <w:sz w:val="24"/>
          <w:szCs w:val="24"/>
          <w:shd w:fill="auto" w:val="clear"/>
        </w:rPr>
        <w:t>Hoffmann et., 2014).</w:t>
      </w:r>
    </w:p>
    <w:tbl>
      <w:tblPr>
        <w:tblW w:w="9277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480"/>
        <w:gridCol w:w="1125"/>
        <w:gridCol w:w="1033"/>
        <w:gridCol w:w="975"/>
        <w:gridCol w:w="993"/>
        <w:gridCol w:w="694"/>
        <w:gridCol w:w="992"/>
        <w:gridCol w:w="993"/>
        <w:gridCol w:w="991"/>
      </w:tblGrid>
      <w:tr>
        <w:trPr>
          <w:trHeight w:val="332" w:hRule="atLeast"/>
        </w:trPr>
        <w:tc>
          <w:tcPr>
            <w:tcW w:w="9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themeColor="text1" w:val="000000"/>
                <w:sz w:val="24"/>
                <w:szCs w:val="24"/>
              </w:rPr>
              <w:t xml:space="preserve">Tabela </w:t>
            </w:r>
            <w:r>
              <w:rPr>
                <w:rFonts w:eastAsia="Times New Roman" w:cs="Times New Roman" w:ascii="Arial" w:hAnsi="Arial"/>
                <w:color w:themeColor="text1"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Arial" w:hAnsi="Arial"/>
                <w:color w:themeColor="text1" w:val="000000"/>
                <w:sz w:val="24"/>
                <w:szCs w:val="24"/>
              </w:rPr>
              <w:t xml:space="preserve"> - Peso corporal (Kg) de bovinos machos nelore recriados em pasto diferida submetidos a suplementação com monensina e óleo essencial de orégano (OEO) na suplementação.</w:t>
            </w:r>
          </w:p>
        </w:tc>
      </w:tr>
      <w:tr>
        <w:trPr>
          <w:trHeight w:val="332" w:hRule="atLeast"/>
        </w:trPr>
        <w:tc>
          <w:tcPr>
            <w:tcW w:w="14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Dieta</w:t>
            </w:r>
          </w:p>
        </w:tc>
        <w:tc>
          <w:tcPr>
            <w:tcW w:w="412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Dias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EP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Valor de P</w:t>
            </w:r>
          </w:p>
        </w:tc>
      </w:tr>
      <w:tr>
        <w:trPr>
          <w:trHeight w:val="1011" w:hRule="atLeast"/>
        </w:trPr>
        <w:tc>
          <w:tcPr>
            <w:tcW w:w="148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94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Dieta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Ciclo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Dieta x</w:t>
            </w:r>
          </w:p>
          <w:p>
            <w:pPr>
              <w:pStyle w:val="Normal"/>
              <w:spacing w:lineRule="auto" w:line="276" w:before="0" w:after="16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Ciclo</w:t>
            </w:r>
          </w:p>
        </w:tc>
      </w:tr>
      <w:tr>
        <w:trPr>
          <w:trHeight w:val="227" w:hRule="atLeast"/>
        </w:trPr>
        <w:tc>
          <w:tcPr>
            <w:tcW w:w="1480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 w:before="120" w:after="0"/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Controle</w:t>
            </w:r>
          </w:p>
        </w:tc>
        <w:tc>
          <w:tcPr>
            <w:tcW w:w="1125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206,2</w:t>
            </w:r>
          </w:p>
        </w:tc>
        <w:tc>
          <w:tcPr>
            <w:tcW w:w="1033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&lt;0,001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firstLine="423" w:left="-423"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0,51</w:t>
            </w:r>
          </w:p>
        </w:tc>
      </w:tr>
      <w:tr>
        <w:trPr>
          <w:trHeight w:val="270" w:hRule="atLeast"/>
        </w:trPr>
        <w:tc>
          <w:tcPr>
            <w:tcW w:w="14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76" w:before="120" w:after="0"/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Monensina</w:t>
            </w:r>
          </w:p>
        </w:tc>
        <w:tc>
          <w:tcPr>
            <w:tcW w:w="112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209,7</w:t>
            </w:r>
          </w:p>
        </w:tc>
        <w:tc>
          <w:tcPr>
            <w:tcW w:w="103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97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99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694" w:type="dxa"/>
            <w:vMerge w:val="continue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4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76" w:before="120" w:after="0"/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OEO3</w:t>
            </w:r>
          </w:p>
        </w:tc>
        <w:tc>
          <w:tcPr>
            <w:tcW w:w="112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210,2</w:t>
            </w:r>
          </w:p>
        </w:tc>
        <w:tc>
          <w:tcPr>
            <w:tcW w:w="103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97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99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694" w:type="dxa"/>
            <w:vMerge w:val="continue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48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 w:before="120" w:after="0"/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OEO6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232,3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235,7</w:t>
            </w:r>
          </w:p>
        </w:tc>
        <w:tc>
          <w:tcPr>
            <w:tcW w:w="694" w:type="dxa"/>
            <w:vMerge w:val="continue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 w:before="120" w:after="0"/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Médias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209,5a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220,1b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230,2c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  <w:t>235,7d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120" w:after="0"/>
              <w:ind w:right="-1"/>
              <w:jc w:val="center"/>
              <w:rPr>
                <w:rFonts w:ascii="Arial" w:hAnsi="Arial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9276" w:type="dxa"/>
            <w:gridSpan w:val="9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120" w:after="0"/>
              <w:ind w:right="-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  <w:vertAlign w:val="superscript"/>
              </w:rPr>
              <w:t>1</w:t>
            </w:r>
            <w:r>
              <w:rPr>
                <w:rFonts w:cs="Times New Roman" w:ascii="Arial" w:hAnsi="Arial"/>
                <w:color w:val="auto"/>
                <w:sz w:val="24"/>
                <w:szCs w:val="24"/>
              </w:rPr>
              <w:t xml:space="preserve">Óleo essencial de orégano – OEO3 = 3g/animal/dia e OEO6 = 6 g/animal/dia; </w:t>
            </w:r>
            <w:r>
              <w:rPr>
                <w:rFonts w:cs="Times New Roman" w:ascii="Arial" w:hAnsi="Arial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 w:ascii="Arial" w:hAnsi="Arial"/>
                <w:color w:val="auto"/>
                <w:sz w:val="24"/>
                <w:szCs w:val="24"/>
              </w:rPr>
              <w:t>Erro padrão.</w:t>
            </w:r>
          </w:p>
        </w:tc>
      </w:tr>
    </w:tbl>
    <w:p>
      <w:pPr>
        <w:pStyle w:val="Normal"/>
        <w:spacing w:lineRule="auto" w:line="288" w:before="120" w:after="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"/>
        <w:spacing w:lineRule="auto" w:line="360"/>
        <w:ind w:firstLine="426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 inclusão dos aditivos não influenciou a taxa de lotação (p=0,19), contudo, houve aumento da lotação de 2,86 para 3,10 UA.ha</w:t>
      </w:r>
      <w:r>
        <w:rPr>
          <w:rFonts w:eastAsia="Arial" w:cs="Arial" w:ascii="Arial" w:hAnsi="Arial"/>
          <w:sz w:val="24"/>
          <w:szCs w:val="24"/>
          <w:vertAlign w:val="superscript"/>
        </w:rPr>
        <w:t xml:space="preserve">1 </w:t>
      </w:r>
      <w:r>
        <w:rPr>
          <w:rFonts w:eastAsia="Arial" w:cs="Arial" w:ascii="Arial" w:hAnsi="Arial"/>
          <w:sz w:val="24"/>
          <w:szCs w:val="24"/>
        </w:rPr>
        <w:t>no último ciclo (p&lt;0,001). Onde, o aumento do peso dos animais com o passar dos períodos refletiu no aumento da taxa de lotação. A suplementação proteico-energética 5 g/kg PC foi suficiente para manter o crescimento dos animais no período seco, obtendo-se taxa de lotação superior quando comparado a animais que não são suplementados nesse período. No entanto, maior oferta de suplemento seria necessária para suprir a queda na oferta de nutrientes causada pela sazonalidade forrageira e, assim, manter o GMD inicial.</w:t>
      </w:r>
    </w:p>
    <w:p>
      <w:pPr>
        <w:pStyle w:val="Normal"/>
        <w:spacing w:lineRule="auto" w:line="360"/>
        <w:ind w:firstLine="426"/>
        <w:jc w:val="both"/>
        <w:rPr>
          <w:rFonts w:ascii="Arial" w:hAnsi="Arial" w:eastAsia="Arial" w:cs="Arial"/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426"/>
        <w:jc w:val="both"/>
        <w:rPr>
          <w:rFonts w:ascii="Arial" w:hAnsi="Arial" w:eastAsia="Arial" w:cs="Arial"/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426"/>
        <w:jc w:val="both"/>
        <w:rPr>
          <w:rFonts w:ascii="Arial" w:hAnsi="Arial" w:eastAsia="Arial" w:cs="Arial"/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426"/>
        <w:jc w:val="both"/>
        <w:rPr>
          <w:rFonts w:ascii="Arial" w:hAnsi="Arial" w:eastAsia="Arial" w:cs="Arial"/>
          <w:sz w:val="24"/>
          <w:szCs w:val="24"/>
        </w:rPr>
      </w:pPr>
      <w:r>
        <w:rPr/>
      </w:r>
    </w:p>
    <w:tbl>
      <w:tblPr>
        <w:tblW w:w="907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417"/>
        <w:gridCol w:w="995"/>
        <w:gridCol w:w="990"/>
        <w:gridCol w:w="995"/>
        <w:gridCol w:w="743"/>
        <w:gridCol w:w="850"/>
        <w:gridCol w:w="1135"/>
        <w:gridCol w:w="1946"/>
      </w:tblGrid>
      <w:tr>
        <w:trPr/>
        <w:tc>
          <w:tcPr>
            <w:tcW w:w="9071" w:type="dxa"/>
            <w:gridSpan w:val="8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/>
                <w:sz w:val="24"/>
                <w:szCs w:val="24"/>
              </w:rPr>
            </w:pPr>
            <w:sdt>
              <w:sdtPr>
                <w:tag w:val="goog_rdk_1"/>
                <w:id w:val="-808237331"/>
                <w:lock w:val="contentLocked"/>
              </w:sdtPr>
              <w:sdtContent>
                <w:r>
                  <w:rPr>
                    <w:rFonts w:ascii="Arial" w:hAnsi="Arial"/>
                    <w:sz w:val="24"/>
                    <w:szCs w:val="24"/>
                  </w:rPr>
                </w:r>
                <w:r>
                  <w:rPr>
                    <w:rFonts w:ascii="Arial" w:hAnsi="Arial"/>
                    <w:sz w:val="24"/>
                    <w:szCs w:val="24"/>
                  </w:rPr>
                  <w:t>Tabela 3 - Desempenho de bovinos machos Nelore recriados em pasto diferido submetidos à monensina e óleo essencial de orégano (OEO) na suplementação</w:t>
                </w:r>
              </w:sdtContent>
            </w:sdt>
          </w:p>
        </w:tc>
      </w:tr>
      <w:tr>
        <w:trPr/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Dietas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Ciclos (dias)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  <w:vertAlign w:val="superscript"/>
              </w:rPr>
              <w:t>2</w:t>
            </w:r>
            <w:r>
              <w:rPr>
                <w:rFonts w:eastAsia="Arial" w:cs="Arial" w:ascii="Arial" w:hAnsi="Arial"/>
                <w:sz w:val="24"/>
                <w:szCs w:val="24"/>
              </w:rPr>
              <w:t>EP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Valor de P</w:t>
            </w:r>
          </w:p>
        </w:tc>
      </w:tr>
      <w:tr>
        <w:trPr>
          <w:trHeight w:val="17" w:hRule="atLeast"/>
        </w:trPr>
        <w:tc>
          <w:tcPr>
            <w:tcW w:w="1417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0-28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29-56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57-84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Dieta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Ciclo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Dieta x Ciclo</w:t>
            </w:r>
          </w:p>
        </w:tc>
      </w:tr>
      <w:tr>
        <w:trPr>
          <w:trHeight w:val="17" w:hRule="atLeast"/>
        </w:trPr>
        <w:tc>
          <w:tcPr>
            <w:tcW w:w="9071" w:type="dxa"/>
            <w:gridSpan w:val="8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Ganho médio diário, kg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Controle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0,280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0,321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0,238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0,05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0,41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0,001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0,61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Monensina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0,375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0,333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0,167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OEO3</w:t>
            </w:r>
            <w:r>
              <w:rPr>
                <w:rFonts w:eastAsia="Arial" w:cs="Arial" w:ascii="Arial" w:hAnsi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0,512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0,405</w:t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0,244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OEO6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0,351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0,369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0,113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Médias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0,380a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0,357a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0,190b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Ganho de peso total, kg/ha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Controle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47,0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54,0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40,0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8,42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0,41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0,001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0,61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Monensina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63,0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56,0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28,0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OEO3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86,0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68,0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41,0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OEO6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59,0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62,0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19,0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Médias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63,75a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60,0a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32,0b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Taxa de lotação, UA/ha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Controle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2,80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2,91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3,01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0,04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0,19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&lt;0,001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0,46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Monensina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2,86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2,99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3,09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OEO3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2,89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3,07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3,19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OEO6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2,89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3,02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3,11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Médias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2,86c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3,00b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3,10a</w:t>
            </w:r>
          </w:p>
        </w:tc>
        <w:tc>
          <w:tcPr>
            <w:tcW w:w="743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480" w:before="0" w:after="0"/>
              <w:jc w:val="both"/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vertAlign w:val="superscript"/>
              </w:rPr>
              <w:t>1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Óleo essencial de orégano – OEO3 = 3g/animal/dia e OEO6 = 6 g/animal/dia; </w:t>
            </w:r>
            <w:r>
              <w:rPr>
                <w:rFonts w:eastAsia="Arial" w:cs="Arial" w:ascii="Arial" w:hAnsi="Arial"/>
                <w:sz w:val="20"/>
                <w:szCs w:val="20"/>
                <w:vertAlign w:val="superscript"/>
              </w:rPr>
              <w:t>2</w:t>
            </w:r>
            <w:r>
              <w:rPr>
                <w:rFonts w:eastAsia="Arial" w:cs="Arial" w:ascii="Arial" w:hAnsi="Arial"/>
                <w:sz w:val="20"/>
                <w:szCs w:val="20"/>
              </w:rPr>
              <w:t>Erro padrão.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CONCLUSÃO</w:t>
      </w:r>
    </w:p>
    <w:p>
      <w:pPr>
        <w:pStyle w:val="Normal"/>
        <w:spacing w:lineRule="auto" w:line="360" w:before="12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 inclusão de monensina e óleo essencial de orégano na suplementação proteico-energética de bovinos em fase de recria durante o período seco em pastagem diferida, não proporciona ganhos adicionais em relação ao desempenho animal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REFERÊNCIAS</w:t>
      </w:r>
    </w:p>
    <w:p>
      <w:pPr>
        <w:pStyle w:val="Normal"/>
        <w:spacing w:lineRule="auto" w:line="240" w:before="120" w:after="24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n-US"/>
        </w:rPr>
        <w:t xml:space="preserve">BECK, P. et al. Additive effect of growth promoting technologies on performance of grazing steers and economics of the wheat pastures enterprise. </w:t>
      </w:r>
      <w:r>
        <w:rPr>
          <w:rFonts w:eastAsia="Times New Roman" w:cs="Arial" w:ascii="Arial" w:hAnsi="Arial"/>
          <w:b/>
          <w:bCs/>
          <w:sz w:val="24"/>
          <w:szCs w:val="24"/>
          <w:lang w:val="en-US"/>
        </w:rPr>
        <w:t>Journal of Animal Science</w:t>
      </w:r>
      <w:r>
        <w:rPr>
          <w:rFonts w:eastAsia="Times New Roman" w:cs="Arial" w:ascii="Arial" w:hAnsi="Arial"/>
          <w:sz w:val="24"/>
          <w:szCs w:val="24"/>
          <w:lang w:val="en-US"/>
        </w:rPr>
        <w:t>, v. 92, p. 1219-1227, 2014.</w:t>
      </w:r>
    </w:p>
    <w:p>
      <w:pPr>
        <w:pStyle w:val="Normal"/>
        <w:spacing w:lineRule="auto" w:line="240" w:before="120" w:after="24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n-US"/>
        </w:rPr>
        <w:t xml:space="preserve">BURT, S. Essential oils: their antibacterial properties and potential application in foods - a review. </w:t>
      </w:r>
      <w:r>
        <w:rPr>
          <w:rFonts w:eastAsia="Times New Roman" w:cs="Arial" w:ascii="Arial" w:hAnsi="Arial"/>
          <w:b/>
          <w:bCs/>
          <w:sz w:val="24"/>
          <w:szCs w:val="24"/>
          <w:lang w:val="en-US"/>
        </w:rPr>
        <w:t>International Journal of Food Microbiology</w:t>
      </w:r>
      <w:r>
        <w:rPr>
          <w:rFonts w:eastAsia="Times New Roman" w:cs="Arial" w:ascii="Arial" w:hAnsi="Arial"/>
          <w:sz w:val="24"/>
          <w:szCs w:val="24"/>
          <w:lang w:val="en-US"/>
        </w:rPr>
        <w:t>, Amsterdam, v. 94, n. 3, p. 223-253, 2004.</w:t>
      </w:r>
    </w:p>
    <w:p>
      <w:pPr>
        <w:pStyle w:val="Normal"/>
        <w:spacing w:lineRule="auto" w:line="240" w:before="120" w:after="24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n-US"/>
        </w:rPr>
        <w:t xml:space="preserve">BUSQUET, M. et al. Plant extracts effect in vitro rumen microbial fermentation. </w:t>
      </w:r>
      <w:r>
        <w:rPr>
          <w:rFonts w:eastAsia="Times New Roman" w:cs="Arial" w:ascii="Arial" w:hAnsi="Arial"/>
          <w:b/>
          <w:bCs/>
          <w:sz w:val="24"/>
          <w:szCs w:val="24"/>
          <w:lang w:val="en-US"/>
        </w:rPr>
        <w:t>Journal of Dairy Science</w:t>
      </w:r>
      <w:r>
        <w:rPr>
          <w:rFonts w:eastAsia="Times New Roman" w:cs="Arial" w:ascii="Arial" w:hAnsi="Arial"/>
          <w:sz w:val="24"/>
          <w:szCs w:val="24"/>
          <w:lang w:val="en-US"/>
        </w:rPr>
        <w:t>, v. 89, p. 761, 2006.</w:t>
      </w:r>
    </w:p>
    <w:p>
      <w:pPr>
        <w:pStyle w:val="Normal"/>
        <w:spacing w:lineRule="auto" w:line="240" w:before="120" w:after="24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n-US"/>
        </w:rPr>
        <w:t xml:space="preserve">CARVALHO, V. V. et al. Effects of supplements containing different additives on nutritional and productive performance of beef cattle grazing tropical grass. </w:t>
      </w:r>
      <w:r>
        <w:rPr>
          <w:rFonts w:eastAsia="Times New Roman" w:cs="Arial" w:ascii="Arial" w:hAnsi="Arial"/>
          <w:b/>
          <w:bCs/>
          <w:sz w:val="24"/>
          <w:szCs w:val="24"/>
          <w:lang w:val="en-US"/>
        </w:rPr>
        <w:t>Tropical Animal Health Production</w:t>
      </w:r>
      <w:r>
        <w:rPr>
          <w:rFonts w:eastAsia="Times New Roman" w:cs="Arial" w:ascii="Arial" w:hAnsi="Arial"/>
          <w:sz w:val="24"/>
          <w:szCs w:val="24"/>
          <w:lang w:val="en-US"/>
        </w:rPr>
        <w:t>, v. 49, p. 983-998, 2017.</w:t>
      </w:r>
    </w:p>
    <w:p>
      <w:pPr>
        <w:pStyle w:val="Normal"/>
        <w:spacing w:lineRule="auto" w:line="240" w:before="120" w:after="24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n-US"/>
        </w:rPr>
        <w:t xml:space="preserve">HOFFMANN, A. et al. Produção de bovinos de corte no sistema de pasto-suplemento no período seco. </w:t>
      </w:r>
      <w:r>
        <w:rPr>
          <w:rFonts w:eastAsia="Times New Roman" w:cs="Arial" w:ascii="Arial" w:hAnsi="Arial"/>
          <w:b/>
          <w:bCs/>
          <w:sz w:val="24"/>
          <w:szCs w:val="24"/>
          <w:lang w:val="en-US"/>
        </w:rPr>
        <w:t>Nativa Sinop Pesquisas Agrárias e Ambientais</w:t>
      </w:r>
      <w:r>
        <w:rPr>
          <w:rFonts w:eastAsia="Times New Roman" w:cs="Arial" w:ascii="Arial" w:hAnsi="Arial"/>
          <w:sz w:val="24"/>
          <w:szCs w:val="24"/>
          <w:lang w:val="en-US"/>
        </w:rPr>
        <w:t>, v. 2, p. 119-130, 2014.</w:t>
      </w:r>
    </w:p>
    <w:p>
      <w:pPr>
        <w:pStyle w:val="Normal"/>
        <w:spacing w:lineRule="auto" w:line="240" w:before="120" w:after="24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n-US"/>
        </w:rPr>
        <w:t xml:space="preserve">MATTHEWS, C. et al. The rumen microbiome: a crucial consideration when optimising milk and meat production and nitrogen utilisation efficiency. </w:t>
      </w:r>
      <w:r>
        <w:rPr>
          <w:rFonts w:eastAsia="Times New Roman" w:cs="Arial" w:ascii="Arial" w:hAnsi="Arial"/>
          <w:b/>
          <w:bCs/>
          <w:sz w:val="24"/>
          <w:szCs w:val="24"/>
          <w:lang w:val="en-US"/>
        </w:rPr>
        <w:t>Gut Microbes</w:t>
      </w:r>
      <w:r>
        <w:rPr>
          <w:rFonts w:eastAsia="Times New Roman" w:cs="Arial" w:ascii="Arial" w:hAnsi="Arial"/>
          <w:sz w:val="24"/>
          <w:szCs w:val="24"/>
          <w:lang w:val="en-US"/>
        </w:rPr>
        <w:t>, v. 10, p. 115-132, 2019.</w:t>
      </w:r>
    </w:p>
    <w:p>
      <w:pPr>
        <w:pStyle w:val="Normal"/>
        <w:spacing w:lineRule="auto" w:line="240" w:before="120" w:after="24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n-US"/>
        </w:rPr>
        <w:t xml:space="preserve">MORIEL, P. et al. Effects of monensin on growth performance of beef heifers consuming warm-season perennial grass and supplemented with sugarcane molasses. </w:t>
      </w:r>
      <w:r>
        <w:rPr>
          <w:rFonts w:eastAsia="Times New Roman" w:cs="Arial" w:ascii="Arial" w:hAnsi="Arial"/>
          <w:b/>
          <w:bCs/>
          <w:sz w:val="24"/>
          <w:szCs w:val="24"/>
          <w:lang w:val="en-US"/>
        </w:rPr>
        <w:t>Tropical Animal Health Production</w:t>
      </w:r>
      <w:r>
        <w:rPr>
          <w:rFonts w:eastAsia="Times New Roman" w:cs="Arial" w:ascii="Arial" w:hAnsi="Arial"/>
          <w:sz w:val="24"/>
          <w:szCs w:val="24"/>
          <w:lang w:val="en-US"/>
        </w:rPr>
        <w:t>, 2019.</w:t>
      </w:r>
    </w:p>
    <w:p>
      <w:pPr>
        <w:pStyle w:val="Normal"/>
        <w:spacing w:lineRule="auto" w:line="240" w:before="120" w:after="24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n-US"/>
        </w:rPr>
        <w:t xml:space="preserve">RIVAROLI, D. C. et al. Effect of essential oils on meat and fat qualities of crossbred young bulls finished in feedlots. </w:t>
      </w:r>
      <w:r>
        <w:rPr>
          <w:rFonts w:eastAsia="Times New Roman" w:cs="Arial" w:ascii="Arial" w:hAnsi="Arial"/>
          <w:b/>
          <w:bCs/>
          <w:sz w:val="24"/>
          <w:szCs w:val="24"/>
          <w:lang w:val="en-US"/>
        </w:rPr>
        <w:t>Meat Science</w:t>
      </w:r>
      <w:r>
        <w:rPr>
          <w:rFonts w:eastAsia="Times New Roman" w:cs="Arial" w:ascii="Arial" w:hAnsi="Arial"/>
          <w:sz w:val="24"/>
          <w:szCs w:val="24"/>
          <w:lang w:val="en-US"/>
        </w:rPr>
        <w:t>, v. 121, p. 278-284, 2016.</w:t>
      </w:r>
    </w:p>
    <w:p>
      <w:pPr>
        <w:pStyle w:val="Normal"/>
        <w:spacing w:lineRule="auto" w:line="240" w:before="120" w:after="24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n-US"/>
        </w:rPr>
        <w:t>TORRES, R. N. S. et al. Meta-analysis of the effects of essential oil as an alternative to monensin in diets for beef cattle. The</w:t>
      </w:r>
      <w:r>
        <w:rPr>
          <w:rFonts w:eastAsia="Times New Roman" w:cs="Arial" w:ascii="Arial" w:hAnsi="Arial"/>
          <w:b/>
          <w:bCs/>
          <w:sz w:val="24"/>
          <w:szCs w:val="24"/>
          <w:lang w:val="en-US"/>
        </w:rPr>
        <w:t xml:space="preserve"> Veterinary Journal</w:t>
      </w:r>
      <w:r>
        <w:rPr>
          <w:rFonts w:eastAsia="Times New Roman" w:cs="Arial" w:ascii="Arial" w:hAnsi="Arial"/>
          <w:sz w:val="24"/>
          <w:szCs w:val="24"/>
          <w:lang w:val="en-US"/>
        </w:rPr>
        <w:t>, v. 272, p. 105659, 2021.</w:t>
      </w:r>
    </w:p>
    <w:p>
      <w:pPr>
        <w:pStyle w:val="Normal"/>
        <w:spacing w:lineRule="auto" w:line="240" w:before="120" w:after="240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val="en-US"/>
        </w:rPr>
        <w:t xml:space="preserve">VENDRAMINI, J. M. B. et al. Effects of monensin inclusion into increasing amount of concentrate on growth and physiological parameters of early-weaned beef calves consuming warm season grasses. </w:t>
      </w:r>
      <w:r>
        <w:rPr>
          <w:rFonts w:eastAsia="Times New Roman" w:cs="Arial" w:ascii="Arial" w:hAnsi="Arial"/>
          <w:b/>
          <w:bCs/>
          <w:sz w:val="24"/>
          <w:szCs w:val="24"/>
          <w:lang w:val="en-US"/>
        </w:rPr>
        <w:t>Journal of Animal Science</w:t>
      </w:r>
      <w:r>
        <w:rPr>
          <w:rFonts w:eastAsia="Times New Roman" w:cs="Arial" w:ascii="Arial" w:hAnsi="Arial"/>
          <w:sz w:val="24"/>
          <w:szCs w:val="24"/>
          <w:lang w:val="en-US"/>
        </w:rPr>
        <w:t>, v. 96, p. 5112-5123, 2018.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AGRADECIMENTOS</w:t>
      </w:r>
    </w:p>
    <w:p>
      <w:pPr>
        <w:pStyle w:val="Normal"/>
        <w:spacing w:lineRule="auto" w:line="240" w:before="0" w:after="0"/>
        <w:ind w:firstLine="720" w:left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Ao </w:t>
      </w:r>
      <w:r>
        <w:rPr>
          <w:rFonts w:cs="Arial" w:ascii="Arial" w:hAnsi="Arial"/>
          <w:sz w:val="24"/>
          <w:szCs w:val="24"/>
          <w:shd w:fill="FFFFFF" w:val="clear"/>
        </w:rPr>
        <w:t>Conselho Nacional de Desenvolvimento Científico e Tecnológico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pela concessão da bolsa.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8" w:right="1418" w:gutter="0" w:header="566" w:top="1418" w:footer="566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ind w:hanging="142" w:left="142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eastAsia="Arial" w:cs="Arial" w:ascii="Arial" w:hAnsi="Arial"/>
          <w:color w:val="000000"/>
          <w:sz w:val="20"/>
          <w:szCs w:val="20"/>
        </w:rPr>
        <w:tab/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Bolsista do Programa de Iniciação Científica (PIBIC). Universidade Federal do Norte do Tocantins (UFNT), Centro de Ciências Agrárias. </w:t>
      </w:r>
      <w:hyperlink r:id="rId1">
        <w:r>
          <w:rPr>
            <w:rStyle w:val="Hyperlink"/>
            <w:rFonts w:eastAsia="Arial" w:cs="Arial" w:ascii="Arial" w:hAnsi="Arial"/>
            <w:sz w:val="20"/>
            <w:szCs w:val="20"/>
          </w:rPr>
          <w:t>pedro.lima@ufnt.edu.br</w:t>
        </w:r>
      </w:hyperlink>
      <w:r>
        <w:rPr>
          <w:rFonts w:eastAsia="Arial" w:cs="Arial" w:ascii="Arial" w:hAnsi="Arial"/>
          <w:color w:val="000000"/>
          <w:sz w:val="20"/>
          <w:szCs w:val="20"/>
        </w:rPr>
        <w:t>; Eduardo.santos@ufnt.edu.br</w:t>
      </w:r>
    </w:p>
  </w:footnote>
  <w:footnote w:id="3">
    <w:p>
      <w:pPr>
        <w:pStyle w:val="Normal"/>
        <w:spacing w:lineRule="auto" w:line="240" w:before="0" w:after="0"/>
        <w:ind w:hanging="142" w:left="142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eastAsia="Arial" w:cs="Arial" w:ascii="Arial" w:hAnsi="Arial"/>
          <w:color w:val="000000"/>
          <w:sz w:val="20"/>
          <w:szCs w:val="20"/>
        </w:rPr>
        <w:tab/>
        <w:t xml:space="preserve">Professora Doutora do Colegiado de Zootecnia, Universidade Federal do Norte do Tocantins (UFNT), Centro de Ciências Agrárias. </w:t>
      </w:r>
      <w:hyperlink r:id="rId2">
        <w:r>
          <w:rPr>
            <w:rStyle w:val="Hyperlink"/>
            <w:rFonts w:eastAsia="Arial" w:cs="Arial" w:ascii="Arial" w:hAnsi="Arial"/>
            <w:color w:val="auto"/>
            <w:sz w:val="20"/>
            <w:szCs w:val="20"/>
            <w:u w:val="none"/>
          </w:rPr>
          <w:t>fabricia.miotto@ufnt.edu.br</w:t>
        </w:r>
      </w:hyperlink>
    </w:p>
    <w:p>
      <w:pPr>
        <w:pStyle w:val="Normal"/>
        <w:spacing w:lineRule="auto" w:line="240" w:before="0" w:after="0"/>
        <w:ind w:hanging="142" w:left="142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³ 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Doutoranda, Programa de Pós-Graduação Integrado em Zootecnia nos Trópicos, Universidade Federal do Norte do Tocantins (PPGIZT/UFNT). </w:t>
      </w:r>
      <w:hyperlink r:id="rId3">
        <w:r>
          <w:rPr>
            <w:rStyle w:val="Hyperlink"/>
            <w:rFonts w:eastAsia="Arial" w:cs="Arial" w:ascii="Arial" w:hAnsi="Arial"/>
            <w:sz w:val="20"/>
            <w:szCs w:val="20"/>
          </w:rPr>
          <w:t>percyacoelho@gmail.com</w:t>
        </w:r>
      </w:hyperlink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9525</wp:posOffset>
          </wp:positionH>
          <wp:positionV relativeFrom="paragraph">
            <wp:posOffset>-146685</wp:posOffset>
          </wp:positionV>
          <wp:extent cx="5749925" cy="147129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47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7af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fc3814"/>
    <w:rPr>
      <w:sz w:val="20"/>
      <w:szCs w:val="20"/>
    </w:rPr>
  </w:style>
  <w:style w:type="character" w:styleId="Refdenotaderodap1" w:customStyle="1">
    <w:name w:val="Ref. de nota de rodapé1"/>
    <w:qFormat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fc3814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Refdenotadefim1" w:customStyle="1">
    <w:name w:val="Ref. de nota de fim1"/>
    <w:qFormat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Hyperlink">
    <w:name w:val="Hyperlink"/>
    <w:basedOn w:val="DefaultParagraphFont"/>
    <w:uiPriority w:val="99"/>
    <w:unhideWhenUsed/>
    <w:rsid w:val="000d188f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188f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74d44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174d4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74d44"/>
    <w:rPr>
      <w:b/>
      <w:bCs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fc3814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174d4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74d4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mailto:pedro.lima@ufnt.edu.br" TargetMode="External"/><Relationship Id="rId2" Type="http://schemas.openxmlformats.org/officeDocument/2006/relationships/hyperlink" Target="mailto:fabricia.miotto@ufnt.edu.br" TargetMode="External"/><Relationship Id="rId3" Type="http://schemas.openxmlformats.org/officeDocument/2006/relationships/hyperlink" Target="mailto:percyacoelho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mPpxdGqAjkkCGRpaE1N0YmD5l4g==">CgMxLjAaHwoBMBIaChgICVIUChJ0YWJsZS56ODR3NXNlZDhqOGIaHwoBMRIaChgICVIUChJ0YWJsZS50ZWlyaGY5amlhNmsyCWguMmV0OTJwMDIOaC41N3NzMGduYWpzbTUyCGgudHlqY3d0MgloLjNkeTZ2a204AHIhMUFNM1pfZHdlSmhmNGtfZW5YaEVEM2tEN3lCZEo1cGFz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LibreOffice/7.6.2.1$Windows_X86_64 LibreOffice_project/56f7684011345957bbf33a7ee678afaf4d2ba333</Application>
  <AppVersion>15.0000</AppVersion>
  <Pages>7</Pages>
  <Words>1844</Words>
  <Characters>10379</Characters>
  <CharactersWithSpaces>12144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2024-10-14T18:43:00Z</dcterms:created>
  <dc:creator>Anônimo</dc:creator>
  <dc:description/>
  <dc:language>pt-BR</dc:language>
  <cp:lastModifiedBy/>
  <cp:lastPrinted>2024-10-18T20:07:17Z</cp:lastPrinted>
  <dcterms:modified xsi:type="dcterms:W3CDTF">2024-10-18T20:25:19Z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