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LIMINARIDADE, IMAGINÁRIO E IDENTIDADE QUEER EM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 SAW THE TV GLOW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 Armanini Mezadri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Fernando Mezadri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trabalho analisa o filme </w:t>
      </w:r>
      <w:r w:rsidDel="00000000" w:rsidR="00000000" w:rsidRPr="00000000">
        <w:rPr>
          <w:i w:val="1"/>
          <w:sz w:val="24"/>
          <w:szCs w:val="24"/>
          <w:rtl w:val="0"/>
        </w:rPr>
        <w:t xml:space="preserve">I Saw The TV Glow </w:t>
      </w:r>
      <w:r w:rsidDel="00000000" w:rsidR="00000000" w:rsidRPr="00000000">
        <w:rPr>
          <w:sz w:val="24"/>
          <w:szCs w:val="24"/>
          <w:rtl w:val="0"/>
        </w:rPr>
        <w:t xml:space="preserve">(2024) de Jane Schoenbrun, examinando como sua narrativa constrói e explora espaços simbólicos de resistência queer através dos conceitos de liminaridade, imaginário e identidade. O objetivo central da pesquisa é aprofundar a compreensão das identidades </w:t>
      </w:r>
      <w:r w:rsidDel="00000000" w:rsidR="00000000" w:rsidRPr="00000000">
        <w:rPr>
          <w:sz w:val="24"/>
          <w:szCs w:val="24"/>
          <w:rtl w:val="0"/>
        </w:rPr>
        <w:t xml:space="preserve">queer</w:t>
      </w:r>
      <w:r w:rsidDel="00000000" w:rsidR="00000000" w:rsidRPr="00000000">
        <w:rPr>
          <w:sz w:val="24"/>
          <w:szCs w:val="24"/>
          <w:rtl w:val="0"/>
        </w:rPr>
        <w:t xml:space="preserve"> por meio da jornada das personagens Owen e Maddy em busca de suas verdadeiras identidades e corpos; e é por meio da série fictícia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Pink Opaque</w:t>
      </w:r>
      <w:r w:rsidDel="00000000" w:rsidR="00000000" w:rsidRPr="00000000">
        <w:rPr>
          <w:sz w:val="24"/>
          <w:szCs w:val="24"/>
          <w:rtl w:val="0"/>
        </w:rPr>
        <w:t xml:space="preserve"> que ês protagonistas encontram um espaço </w:t>
      </w:r>
      <w:r w:rsidDel="00000000" w:rsidR="00000000" w:rsidRPr="00000000">
        <w:rPr>
          <w:sz w:val="24"/>
          <w:szCs w:val="24"/>
          <w:rtl w:val="0"/>
        </w:rPr>
        <w:t xml:space="preserve">de (re)descoberta</w:t>
      </w:r>
      <w:r w:rsidDel="00000000" w:rsidR="00000000" w:rsidRPr="00000000">
        <w:rPr>
          <w:sz w:val="24"/>
          <w:szCs w:val="24"/>
          <w:rtl w:val="0"/>
        </w:rPr>
        <w:t xml:space="preserve"> e resistência frente às  normas cisheteronormativas impostas. Trata-se de uma análise narrativa, simbólica e cinematográfica, com base em revisão bibliográfica, que articula três perspectivas principais: a teoria da liminaridade de Turner (1974), que ilumina o estado transitório das identidades queer; os horizontes imaginativos de Crapanzano (2005) que evidenciam as fronteiras e limites entre a realidade e a fantasia do filme; e o poder simbólico conforme Bourdieu (2007) para analisar as imposições e violências simbólicas do cotidiano. As reflexões de Butler (2018) são igualmente importantes para entender a significância da performatividade e a subjetividade de gênero. A análise mostra como o filme estabelece uma conexão entre a liminaridade da transgeneridade à possibilidade de existir além do imaginário, com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Pink Opaque</w:t>
      </w:r>
      <w:r w:rsidDel="00000000" w:rsidR="00000000" w:rsidRPr="00000000">
        <w:rPr>
          <w:sz w:val="24"/>
          <w:szCs w:val="24"/>
          <w:rtl w:val="0"/>
        </w:rPr>
        <w:t xml:space="preserve"> atuando como um catalisador das inquietações internas diante 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violência simbólica contra corpos</w:t>
      </w:r>
      <w:r w:rsidDel="00000000" w:rsidR="00000000" w:rsidRPr="00000000">
        <w:rPr>
          <w:sz w:val="24"/>
          <w:szCs w:val="24"/>
          <w:rtl w:val="0"/>
        </w:rPr>
        <w:t xml:space="preserve"> desviantes</w:t>
      </w:r>
      <w:r w:rsidDel="00000000" w:rsidR="00000000" w:rsidRPr="00000000">
        <w:rPr>
          <w:sz w:val="24"/>
          <w:szCs w:val="24"/>
          <w:rtl w:val="0"/>
        </w:rPr>
        <w:t xml:space="preserve"> da norma cisheteronormativa. A escolha de cores saturadas e vivas, aliadas à ambientação nostálgica e melancólica, reforça - juntamente com a narrativa e outros elementos visuais da trama - o contraste das expectativas sociais normativas e a busca por uma identidade que tenta viver plenamente. As decisões tomadas por Owen e Maddy ilustram algumas das formas de se lidar diante esse choque de realidades e principalmente diante imposições simbólicas naturalizadas. Conclui-se que </w:t>
      </w:r>
      <w:r w:rsidDel="00000000" w:rsidR="00000000" w:rsidRPr="00000000">
        <w:rPr>
          <w:i w:val="1"/>
          <w:sz w:val="24"/>
          <w:szCs w:val="24"/>
          <w:rtl w:val="0"/>
        </w:rPr>
        <w:t xml:space="preserve">I Saw The TV Glow</w:t>
      </w:r>
      <w:r w:rsidDel="00000000" w:rsidR="00000000" w:rsidRPr="00000000">
        <w:rPr>
          <w:sz w:val="24"/>
          <w:szCs w:val="24"/>
          <w:rtl w:val="0"/>
        </w:rPr>
        <w:t xml:space="preserve"> funciona como obra cinematográfica e como símbolo de resistência social: oferece um refúgio para identidades não-normativas, e transforma a tela da televisão em um portal para a reinvenção do ser para além da realidade.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Identidade. Imaginário. Liminar. </w:t>
      </w:r>
      <w:r w:rsidDel="00000000" w:rsidR="00000000" w:rsidRPr="00000000">
        <w:rPr>
          <w:sz w:val="24"/>
          <w:szCs w:val="24"/>
          <w:rtl w:val="0"/>
        </w:rPr>
        <w:t xml:space="preserve">Queer</w:t>
      </w:r>
      <w:r w:rsidDel="00000000" w:rsidR="00000000" w:rsidRPr="00000000">
        <w:rPr>
          <w:sz w:val="24"/>
          <w:szCs w:val="24"/>
          <w:rtl w:val="0"/>
        </w:rPr>
        <w:t xml:space="preserve">. Simbolismo. 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Graduando em Antropologia na Universidade Federal de Santa Catarina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Licenciado em Filosofia, mestre e doutor em Sociologia Política pela UFSC. Professor do ensino básico, técnico e tecnológico do Instituto Federal de Santa Catarina (IFSC - câmpus Gaspar).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+BCIb2HJsX1K0iyoAsrb0V1og==">CgMxLjA4AHIhMVAzd1RoTS00S2RBRm9xN2Y0N2NELUpsLVFYd3RyekxJ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