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2C1B1" w14:textId="77777777" w:rsidR="00D77917" w:rsidRPr="00BB1191" w:rsidRDefault="00D77917" w:rsidP="00D77917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11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ANÁLISE ESPACIAL DO USO E COBERTURA DO SOLO DA BACIA HIDROGRÁFICA DO RIO MARACANÃ, NO ESTADO DO PARÁ</w:t>
      </w:r>
    </w:p>
    <w:p w14:paraId="4E7DA6CD" w14:textId="77777777" w:rsidR="00D77917" w:rsidRPr="00BB1191" w:rsidRDefault="00D77917" w:rsidP="00D779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74D7EB" w14:textId="09A53403" w:rsidR="00D77917" w:rsidRPr="00BB1191" w:rsidRDefault="00D77917" w:rsidP="00D779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1191">
        <w:rPr>
          <w:rFonts w:ascii="Times New Roman" w:eastAsia="Times New Roman" w:hAnsi="Times New Roman" w:cs="Times New Roman"/>
          <w:sz w:val="24"/>
          <w:szCs w:val="24"/>
          <w:lang w:eastAsia="pt-BR"/>
        </w:rPr>
        <w:t>Eduarda dos Santos Moura</w:t>
      </w:r>
      <w:r w:rsidRPr="004F66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1</w:t>
      </w:r>
      <w:r w:rsidRPr="00BB1191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="00F95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Naylana Santos Macedo</w:t>
      </w:r>
      <w:r w:rsidR="00F95D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2</w:t>
      </w:r>
      <w:r w:rsidR="00F95D66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Pr="00BB11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B1191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Sanae Nogueira Hayashi</w:t>
      </w:r>
      <w:r w:rsidR="00F95D6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t-BR"/>
        </w:rPr>
        <w:t>3</w:t>
      </w:r>
    </w:p>
    <w:p w14:paraId="2E8C3D38" w14:textId="77777777" w:rsidR="00D77917" w:rsidRPr="00BB1191" w:rsidRDefault="00D77917" w:rsidP="00D779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11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14:paraId="551567EE" w14:textId="2B36FDC9" w:rsidR="00D77917" w:rsidRDefault="00D77917" w:rsidP="00D779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119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 xml:space="preserve">1 </w:t>
      </w:r>
      <w:r w:rsidRPr="00BB11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Graduanda em Engenharia Ambiental e Energias Renováveis. Universidade Federal Rural da Amazônia - UFRA. E-mail: </w:t>
      </w:r>
      <w:hyperlink r:id="rId8" w:history="1">
        <w:r w:rsidR="00F95D66" w:rsidRPr="004F20BB">
          <w:rPr>
            <w:rStyle w:val="Hiperligao"/>
            <w:rFonts w:ascii="Times New Roman" w:eastAsia="Times New Roman" w:hAnsi="Times New Roman" w:cs="Times New Roman"/>
            <w:sz w:val="24"/>
            <w:szCs w:val="24"/>
            <w:lang w:eastAsia="pt-BR"/>
          </w:rPr>
          <w:t>mse.eduardaa@gmail.com</w:t>
        </w:r>
      </w:hyperlink>
    </w:p>
    <w:p w14:paraId="3ED94B92" w14:textId="237E201B" w:rsidR="00F95D66" w:rsidRDefault="00F95D66" w:rsidP="00F95D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2</w:t>
      </w:r>
      <w:r w:rsidRPr="00BB119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 xml:space="preserve"> </w:t>
      </w:r>
      <w:r w:rsidRPr="00BB11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Graduanda em Engenharia Ambiental e Energias Renováveis. Universidade Federal Rural da Amazônia - UFRA. E-mail: </w:t>
      </w:r>
      <w:hyperlink r:id="rId9" w:history="1">
        <w:r w:rsidRPr="004F20BB">
          <w:rPr>
            <w:rStyle w:val="Hiperligao"/>
            <w:rFonts w:ascii="Times New Roman" w:eastAsia="Times New Roman" w:hAnsi="Times New Roman" w:cs="Times New Roman"/>
            <w:sz w:val="24"/>
            <w:szCs w:val="24"/>
            <w:lang w:eastAsia="pt-BR"/>
          </w:rPr>
          <w:t>macedonaylana@gmail.com</w:t>
        </w:r>
      </w:hyperlink>
    </w:p>
    <w:p w14:paraId="31410674" w14:textId="35A636DA" w:rsidR="00D77917" w:rsidRPr="00BB1191" w:rsidRDefault="00F95D66" w:rsidP="00D779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3</w:t>
      </w:r>
      <w:r w:rsidR="00D77917" w:rsidRPr="00BB119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 xml:space="preserve"> </w:t>
      </w:r>
      <w:r w:rsidR="00D77917" w:rsidRPr="00BB11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Dr. em Biologia Ambiental. Universidade Federal Rural da Amazônia - UFRA. </w:t>
      </w:r>
    </w:p>
    <w:p w14:paraId="26A166AF" w14:textId="77777777" w:rsidR="00D77917" w:rsidRPr="00BB1191" w:rsidRDefault="00D77917" w:rsidP="00D779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1191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8ED198C" w14:textId="77777777" w:rsidR="00D77917" w:rsidRPr="00BB1191" w:rsidRDefault="00D77917" w:rsidP="00D779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11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RESUMO</w:t>
      </w:r>
    </w:p>
    <w:p w14:paraId="5AF9DEC2" w14:textId="77777777" w:rsidR="00D77917" w:rsidRPr="00BB1191" w:rsidRDefault="00D77917" w:rsidP="00D779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E39C95" w14:textId="77777777" w:rsidR="00D77917" w:rsidRPr="004F66AD" w:rsidRDefault="00D77917" w:rsidP="004F6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66AD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F66AD" w:rsidRPr="004F66AD">
        <w:rPr>
          <w:rFonts w:ascii="Times New Roman" w:hAnsi="Times New Roman" w:cs="Times New Roman"/>
          <w:sz w:val="24"/>
          <w:szCs w:val="24"/>
        </w:rPr>
        <w:t xml:space="preserve"> presente estudo teve como objeto de análise a Bacia Hidrográfica do Rio Maracanã (BHRM), localizada na mesorregião Nordeste do estado do Pará, inserida na zona costeira amazônica. O problema abordado relaciona-se às transformações no uso e cobertura do solo, que modificam a paisagem e afetam os processos ambientais. A pesquisa justifica-se pela importância do mapeamento do uso e cobertura do solo como ferramenta essencial para compreender as mudanças na paisagem e gerar informações que subsidiem o planejamento territorial e as estratégias de manejo ambiental. O objetivo foi realizar uma análise espacial do uso e cobertura do solo da BHRM, utilizando dados de Modelo Digital de Elevação (MDE) e imagens de satélite processadas no QGIS, com foco na identificação das classes de uso, na avaliação de sua distribuição espacial e nas possíveis implicações ambientais. A metodologia baseou-se no uso de imagens Landsat 8 OLI, processadas e classificadas por meio do plugin Dzetsaka e do algoritmo Gaussian Mixture Model (GMM), resultando em seis classes temáticas: corpo d’água, mangue, solo exposto, floresta de terra firme, nuvem e sombra. Os resultados mostraram predominância da floresta de terra firme (67,82%), seguida por solo exposto (19,63%), mangue (3,89%) e corpo d’água (3,49%). A validação da classificação apresentou índice Kappa de 0,817 e acurácia geral de 86,25%. Conclui-se que a BHRM mantém extensas áreas de vegetação nativa e zonas de solo exposto associadas a atividades humanas, destacando-se como subsídio para ações de planejamento territorial e conservação ambiental.</w:t>
      </w:r>
    </w:p>
    <w:p w14:paraId="3CFACD61" w14:textId="77777777" w:rsidR="00D77917" w:rsidRPr="00BB1191" w:rsidRDefault="00D77917" w:rsidP="00D77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1191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CA5E67D" w14:textId="77777777" w:rsidR="00D77917" w:rsidRPr="00BB1191" w:rsidRDefault="00D77917" w:rsidP="00D77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11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Palavras-chave: </w:t>
      </w:r>
      <w:r w:rsidR="005F41B9">
        <w:rPr>
          <w:rFonts w:ascii="Times New Roman" w:eastAsia="Times New Roman" w:hAnsi="Times New Roman" w:cs="Times New Roman"/>
          <w:sz w:val="24"/>
          <w:szCs w:val="24"/>
          <w:lang w:eastAsia="pt-BR"/>
        </w:rPr>
        <w:t>Cobertura do Solo</w:t>
      </w:r>
      <w:r w:rsidR="00E070B5" w:rsidRPr="00BB11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5F41B9">
        <w:rPr>
          <w:rFonts w:ascii="Times New Roman" w:eastAsia="Times New Roman" w:hAnsi="Times New Roman" w:cs="Times New Roman"/>
          <w:sz w:val="24"/>
          <w:szCs w:val="24"/>
          <w:lang w:eastAsia="pt-BR"/>
        </w:rPr>
        <w:t>Bacia Hidrográfica. Sensoriamento Remoto.</w:t>
      </w:r>
    </w:p>
    <w:p w14:paraId="03884AF7" w14:textId="77777777" w:rsidR="00D77917" w:rsidRPr="00BB1191" w:rsidRDefault="00D77917" w:rsidP="00D779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1191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EB09B75" w14:textId="77777777" w:rsidR="00D77917" w:rsidRPr="00BB1191" w:rsidRDefault="00D77917" w:rsidP="00D77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11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Área de Interesse do Simpósio</w:t>
      </w:r>
      <w:r w:rsidRPr="00BB11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Geotecnologias. </w:t>
      </w:r>
    </w:p>
    <w:p w14:paraId="7848940B" w14:textId="77777777" w:rsidR="00D77917" w:rsidRPr="00BB1191" w:rsidRDefault="00D77917" w:rsidP="00D77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11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14:paraId="13646136" w14:textId="77777777" w:rsidR="003C650E" w:rsidRPr="00BB1191" w:rsidRDefault="003C650E" w:rsidP="00F57FE6">
      <w:pPr>
        <w:shd w:val="clear" w:color="auto" w:fill="FFFFFF"/>
        <w:tabs>
          <w:tab w:val="left" w:pos="2500"/>
        </w:tabs>
        <w:rPr>
          <w:rFonts w:ascii="Times New Roman" w:hAnsi="Times New Roman" w:cs="Times New Roman"/>
          <w:sz w:val="24"/>
          <w:szCs w:val="24"/>
        </w:rPr>
      </w:pPr>
    </w:p>
    <w:p w14:paraId="3C21D2E9" w14:textId="77777777" w:rsidR="003C650E" w:rsidRPr="00BB1191" w:rsidRDefault="003C650E" w:rsidP="00F57FE6">
      <w:pPr>
        <w:shd w:val="clear" w:color="auto" w:fill="FFFFFF"/>
        <w:tabs>
          <w:tab w:val="left" w:pos="2500"/>
        </w:tabs>
        <w:rPr>
          <w:rFonts w:ascii="Times New Roman" w:hAnsi="Times New Roman" w:cs="Times New Roman"/>
          <w:sz w:val="24"/>
          <w:szCs w:val="24"/>
        </w:rPr>
      </w:pPr>
    </w:p>
    <w:p w14:paraId="78A4F827" w14:textId="77777777" w:rsidR="00455C0D" w:rsidRPr="00BB1191" w:rsidRDefault="00455C0D" w:rsidP="00F57FE6">
      <w:pPr>
        <w:shd w:val="clear" w:color="auto" w:fill="FFFFFF"/>
        <w:tabs>
          <w:tab w:val="left" w:pos="2500"/>
        </w:tabs>
        <w:rPr>
          <w:rFonts w:ascii="Times New Roman" w:hAnsi="Times New Roman" w:cs="Times New Roman"/>
          <w:sz w:val="24"/>
          <w:szCs w:val="24"/>
        </w:rPr>
      </w:pPr>
    </w:p>
    <w:p w14:paraId="6BD0E341" w14:textId="77777777" w:rsidR="00455C0D" w:rsidRPr="00BB1191" w:rsidRDefault="00455C0D" w:rsidP="00F57FE6">
      <w:pPr>
        <w:shd w:val="clear" w:color="auto" w:fill="FFFFFF"/>
        <w:tabs>
          <w:tab w:val="left" w:pos="2500"/>
        </w:tabs>
        <w:rPr>
          <w:rFonts w:ascii="Times New Roman" w:hAnsi="Times New Roman" w:cs="Times New Roman"/>
          <w:sz w:val="24"/>
          <w:szCs w:val="24"/>
        </w:rPr>
      </w:pPr>
    </w:p>
    <w:p w14:paraId="47AB34D1" w14:textId="77777777" w:rsidR="004570CE" w:rsidRPr="00BB1191" w:rsidRDefault="004570CE" w:rsidP="00F57FE6">
      <w:pPr>
        <w:shd w:val="clear" w:color="auto" w:fill="FFFFFF"/>
        <w:tabs>
          <w:tab w:val="left" w:pos="2500"/>
        </w:tabs>
        <w:rPr>
          <w:rFonts w:ascii="Times New Roman" w:hAnsi="Times New Roman" w:cs="Times New Roman"/>
          <w:sz w:val="24"/>
          <w:szCs w:val="24"/>
        </w:rPr>
      </w:pPr>
    </w:p>
    <w:p w14:paraId="0E1607AD" w14:textId="77777777" w:rsidR="00455C0D" w:rsidRPr="00BB1191" w:rsidRDefault="00455C0D" w:rsidP="00F57FE6">
      <w:pPr>
        <w:shd w:val="clear" w:color="auto" w:fill="FFFFFF"/>
        <w:tabs>
          <w:tab w:val="left" w:pos="2500"/>
        </w:tabs>
        <w:rPr>
          <w:rFonts w:ascii="Times New Roman" w:hAnsi="Times New Roman" w:cs="Times New Roman"/>
          <w:sz w:val="24"/>
          <w:szCs w:val="24"/>
        </w:rPr>
      </w:pPr>
    </w:p>
    <w:p w14:paraId="7E3131D7" w14:textId="77777777" w:rsidR="005E4C7D" w:rsidRPr="00BB1191" w:rsidRDefault="003C650E" w:rsidP="00455C0D">
      <w:pPr>
        <w:pStyle w:val="PargrafodaLista"/>
        <w:numPr>
          <w:ilvl w:val="0"/>
          <w:numId w:val="10"/>
        </w:numPr>
        <w:shd w:val="clear" w:color="auto" w:fill="FFFFFF"/>
        <w:tabs>
          <w:tab w:val="left" w:pos="2500"/>
        </w:tabs>
        <w:rPr>
          <w:rFonts w:ascii="Times New Roman" w:hAnsi="Times New Roman" w:cs="Times New Roman"/>
          <w:b/>
          <w:sz w:val="24"/>
        </w:rPr>
      </w:pPr>
      <w:r w:rsidRPr="00BB1191">
        <w:rPr>
          <w:rFonts w:ascii="Times New Roman" w:hAnsi="Times New Roman" w:cs="Times New Roman"/>
          <w:b/>
          <w:sz w:val="24"/>
        </w:rPr>
        <w:t>INTRODUÇÃO</w:t>
      </w:r>
    </w:p>
    <w:p w14:paraId="4051F593" w14:textId="77777777" w:rsidR="00255A23" w:rsidRPr="00BB1191" w:rsidRDefault="00255A23" w:rsidP="00255A23">
      <w:pPr>
        <w:pStyle w:val="NormalWeb"/>
        <w:spacing w:line="360" w:lineRule="auto"/>
        <w:ind w:firstLine="360"/>
        <w:jc w:val="both"/>
      </w:pPr>
      <w:r w:rsidRPr="00BB1191">
        <w:t>O mapeamento do uso e cobertura do solo constitui uma ferramenta essencial para compreender as rápidas transformações na paisagem. Essa abordagem permite gerar informações detalhadas para a construção de cenários ambientais e indicadores de suporte ambiental, oferecendo subsídios práticos para orientar práticas conservacionistas e estratégias de manejo. Dessa forma, o estudo do uso do solo contribui diretamente para o planejamento territorial e para o desenvolvimento sustentável da região, permitindo decisões mais eficientes na gestão dos recursos naturais (Santos e Santos, 2010).</w:t>
      </w:r>
    </w:p>
    <w:p w14:paraId="2346D49B" w14:textId="1D5434D3" w:rsidR="00255A23" w:rsidRPr="00BB1191" w:rsidRDefault="00255A23" w:rsidP="00255A23">
      <w:pPr>
        <w:pStyle w:val="NormalWeb"/>
        <w:spacing w:line="360" w:lineRule="auto"/>
        <w:ind w:firstLine="360"/>
        <w:jc w:val="both"/>
      </w:pPr>
      <w:r w:rsidRPr="00BB1191">
        <w:rPr>
          <w:rStyle w:val="Forte"/>
          <w:b w:val="0"/>
        </w:rPr>
        <w:t>Segundo Santos e Santos (2010),</w:t>
      </w:r>
      <w:r w:rsidRPr="00BB1191">
        <w:t xml:space="preserve"> a ocupação e o uso atuais do solo </w:t>
      </w:r>
      <w:r w:rsidR="00D46873" w:rsidRPr="00BB1191">
        <w:t>vêm</w:t>
      </w:r>
      <w:r w:rsidRPr="00BB1191">
        <w:t xml:space="preserve"> causando diversos impactos no meio ambiente. Entre os principais efeitos estão a degradação do solo, a impermeabilização, a poluição de rios e lagos por efluentes e substâncias tóxicas, a fragmentação de áreas florestais e a diminuição da diversidade biológica e genética das espécie</w:t>
      </w:r>
      <w:r w:rsidR="008443DB">
        <w:t>s. Esses problemas ambientais te</w:t>
      </w:r>
      <w:r w:rsidRPr="00BB1191">
        <w:t>m sido objeto de discussão desde a década de 1970, sendo destacados na Conferência de Estocolmo (1972), que evidenciou a necessidade de atenção aos efeitos negativos da expansão agrícola sobre os ecossistemas</w:t>
      </w:r>
    </w:p>
    <w:p w14:paraId="6F570DBB" w14:textId="25D66152" w:rsidR="00E41F75" w:rsidRPr="00BB1191" w:rsidRDefault="008E6D65" w:rsidP="00255A23">
      <w:pPr>
        <w:pStyle w:val="NormalWeb"/>
        <w:spacing w:line="360" w:lineRule="auto"/>
        <w:ind w:firstLine="360"/>
        <w:jc w:val="both"/>
      </w:pPr>
      <w:r w:rsidRPr="00BB1191">
        <w:t>A Bacia Hidrográfica do Rio Maracanã</w:t>
      </w:r>
      <w:r w:rsidR="004B7434" w:rsidRPr="00BB1191">
        <w:t xml:space="preserve"> (BHRM)</w:t>
      </w:r>
      <w:r w:rsidRPr="00BB1191">
        <w:t xml:space="preserve"> encontra-se na mesorregião Nordeste do estado do Pará, inserida na zona costeira amazônica, caracterizando-se como parte da Região Hidrográfica Costa Atlântica Nordeste (R</w:t>
      </w:r>
      <w:r w:rsidR="00976D11">
        <w:t>aiol</w:t>
      </w:r>
      <w:r w:rsidRPr="00BB1191">
        <w:t xml:space="preserve"> et al., 2024).</w:t>
      </w:r>
      <w:r w:rsidR="004B7434" w:rsidRPr="00BB1191">
        <w:t xml:space="preserve"> </w:t>
      </w:r>
      <w:r w:rsidR="006732AE">
        <w:t>Essa bacia hidrográfica</w:t>
      </w:r>
      <w:r w:rsidR="00B77806" w:rsidRPr="00BB1191">
        <w:t xml:space="preserve"> se des</w:t>
      </w:r>
      <w:r w:rsidR="004B7434" w:rsidRPr="00BB1191">
        <w:t>taca como um importante polo de d</w:t>
      </w:r>
      <w:r w:rsidR="00B77806" w:rsidRPr="00BB1191">
        <w:t>esenvolvimento regional, devido às suas características geoambientais que permitem o aproveitamento dos recursos hídricos. Além disso, os diferentes ecossistemas presentes na região possibilitam analisar como a paisagem influencia os processos ambientais e geoquímicos (C</w:t>
      </w:r>
      <w:r w:rsidR="00976D11">
        <w:t>osta</w:t>
      </w:r>
      <w:r w:rsidR="00B77806" w:rsidRPr="00BB1191">
        <w:t>, 2004).</w:t>
      </w:r>
      <w:r w:rsidR="004B7434" w:rsidRPr="00BB1191">
        <w:t xml:space="preserve"> Dessa forma, compreender a dinâmica do uso e cobertura do solo na BHRM é ideal para subsidiar estratégias de planejamento e conservação ambiental.</w:t>
      </w:r>
    </w:p>
    <w:p w14:paraId="79B6AD73" w14:textId="77777777" w:rsidR="00455C0D" w:rsidRPr="00BB1191" w:rsidRDefault="00455C0D" w:rsidP="00255A23">
      <w:pPr>
        <w:pStyle w:val="NormalWeb"/>
        <w:spacing w:line="360" w:lineRule="auto"/>
        <w:ind w:firstLine="360"/>
        <w:jc w:val="both"/>
      </w:pPr>
      <w:r w:rsidRPr="00BB1191">
        <w:t>Diante d</w:t>
      </w:r>
      <w:r w:rsidR="004C299D" w:rsidRPr="00BB1191">
        <w:t xml:space="preserve">o exposto, o presente estudo tem como objetivo realizar uma análise espacial do uso e cobertura do solo da Bacia Hidrográfica do Rio Maracanã, utilizando dados de MDE e </w:t>
      </w:r>
      <w:r w:rsidR="004C299D" w:rsidRPr="00BB1191">
        <w:lastRenderedPageBreak/>
        <w:t>imagens de satélite processadas no QGIS, com foco na identificação das classes de uso, na avaliação de sua distribuição espacial e nas possíveis implicações ambientais, fornecendo subsídios para o planejamento territorial e estratégias de conservação sustentável da região.</w:t>
      </w:r>
    </w:p>
    <w:p w14:paraId="702911FB" w14:textId="5ADAE52C" w:rsidR="00430A3D" w:rsidRPr="00BB1191" w:rsidRDefault="00430A3D" w:rsidP="00430A3D">
      <w:pPr>
        <w:pStyle w:val="NormalWeb"/>
        <w:numPr>
          <w:ilvl w:val="0"/>
          <w:numId w:val="10"/>
        </w:numPr>
        <w:spacing w:line="360" w:lineRule="auto"/>
        <w:jc w:val="both"/>
        <w:rPr>
          <w:b/>
        </w:rPr>
      </w:pPr>
      <w:r w:rsidRPr="00BB1191">
        <w:rPr>
          <w:b/>
        </w:rPr>
        <w:t>M</w:t>
      </w:r>
      <w:r w:rsidR="006732AE">
        <w:rPr>
          <w:b/>
        </w:rPr>
        <w:t>ATERAI</w:t>
      </w:r>
      <w:r w:rsidR="00E408D5">
        <w:rPr>
          <w:b/>
        </w:rPr>
        <w:t>S</w:t>
      </w:r>
      <w:r w:rsidR="006732AE">
        <w:rPr>
          <w:b/>
        </w:rPr>
        <w:t xml:space="preserve"> E MÉTODOS</w:t>
      </w:r>
    </w:p>
    <w:p w14:paraId="72A3B81A" w14:textId="77777777" w:rsidR="004570CE" w:rsidRPr="00BB1191" w:rsidRDefault="00F70D75" w:rsidP="00F70D75">
      <w:pPr>
        <w:pStyle w:val="NormalWeb"/>
        <w:numPr>
          <w:ilvl w:val="1"/>
          <w:numId w:val="10"/>
        </w:numPr>
        <w:spacing w:line="360" w:lineRule="auto"/>
      </w:pPr>
      <w:r w:rsidRPr="00BB1191">
        <w:t>ÁREA DE ESTUDO</w:t>
      </w:r>
    </w:p>
    <w:p w14:paraId="0DDAA945" w14:textId="0B510F66" w:rsidR="00D11D3E" w:rsidRPr="00BB1191" w:rsidRDefault="00FE7751" w:rsidP="004570CE">
      <w:pPr>
        <w:pStyle w:val="NormalWeb"/>
        <w:spacing w:line="360" w:lineRule="auto"/>
        <w:ind w:firstLine="360"/>
        <w:jc w:val="both"/>
        <w:rPr>
          <w:b/>
        </w:rPr>
      </w:pPr>
      <w:r w:rsidRPr="00BB1191">
        <w:t>A Bacia Hidrográfica do Rio Maracanã localiza-se na mesorregião Nordeste do Pará, na zona costeira amazônica, e insere-se na Região Hidrográfica Costa Atlântica Nordeste</w:t>
      </w:r>
      <w:r w:rsidR="0092270F">
        <w:t xml:space="preserve"> (Figura 1)</w:t>
      </w:r>
      <w:r w:rsidRPr="00BB1191">
        <w:t xml:space="preserve">. A </w:t>
      </w:r>
      <w:r w:rsidR="005C51B7" w:rsidRPr="00BB1191">
        <w:t>bacia</w:t>
      </w:r>
      <w:r w:rsidRPr="00BB1191">
        <w:t xml:space="preserve"> abrange </w:t>
      </w:r>
      <w:r w:rsidR="0092270F">
        <w:t xml:space="preserve">os </w:t>
      </w:r>
      <w:r w:rsidRPr="00BB1191">
        <w:t xml:space="preserve">municípios </w:t>
      </w:r>
      <w:r w:rsidR="0092270F">
        <w:t>de</w:t>
      </w:r>
      <w:r w:rsidRPr="00BB1191">
        <w:t xml:space="preserve"> Maracanã, Igarapé-Açu, Santarém Novo, Nova Timboteua</w:t>
      </w:r>
      <w:r w:rsidR="00950A49" w:rsidRPr="00BB1191">
        <w:t>, São Francisco do Pará, Castanhal, Santa Maria do Pará,</w:t>
      </w:r>
      <w:r w:rsidRPr="00BB1191">
        <w:t xml:space="preserve"> São Miguel do Guamá, </w:t>
      </w:r>
      <w:r w:rsidR="00950A49" w:rsidRPr="00BB1191">
        <w:t>Bonito, Capanema, Peixe-Boi, Primavera, São João de Pirabas e Salinópolis</w:t>
      </w:r>
      <w:r w:rsidRPr="00BB1191">
        <w:t>. Sua</w:t>
      </w:r>
      <w:r w:rsidR="0092270F">
        <w:t>s</w:t>
      </w:r>
      <w:r w:rsidRPr="00BB1191">
        <w:t xml:space="preserve"> nascente</w:t>
      </w:r>
      <w:r w:rsidR="0092270F">
        <w:t>s mais distantes</w:t>
      </w:r>
      <w:r w:rsidRPr="00BB1191">
        <w:t xml:space="preserve"> est</w:t>
      </w:r>
      <w:r w:rsidR="0092270F">
        <w:t>ão</w:t>
      </w:r>
      <w:r w:rsidRPr="00BB1191">
        <w:t xml:space="preserve"> </w:t>
      </w:r>
      <w:r w:rsidR="00D46873" w:rsidRPr="00BB1191">
        <w:t>localizadas</w:t>
      </w:r>
      <w:r w:rsidRPr="00BB1191">
        <w:t xml:space="preserve"> </w:t>
      </w:r>
      <w:r w:rsidR="0092270F">
        <w:t>no município de</w:t>
      </w:r>
      <w:r w:rsidR="00D46873">
        <w:t xml:space="preserve"> </w:t>
      </w:r>
      <w:r w:rsidRPr="00BB1191">
        <w:t>São Miguel do Guamá, enquanto sua foz encontra-se n</w:t>
      </w:r>
      <w:r w:rsidR="006C68F3" w:rsidRPr="00BB1191">
        <w:t>a baía de Maracanã (R</w:t>
      </w:r>
      <w:r w:rsidR="0073139C">
        <w:t>aiol</w:t>
      </w:r>
      <w:r w:rsidR="006C68F3" w:rsidRPr="00BB1191">
        <w:t>, 2024</w:t>
      </w:r>
      <w:r w:rsidRPr="00BB1191">
        <w:t>).</w:t>
      </w:r>
    </w:p>
    <w:p w14:paraId="189C7E3B" w14:textId="77777777" w:rsidR="00F70D75" w:rsidRDefault="007A1168" w:rsidP="00F70D75">
      <w:pPr>
        <w:pStyle w:val="NormalWeb"/>
        <w:ind w:left="360" w:firstLine="348"/>
        <w:jc w:val="center"/>
        <w:rPr>
          <w:sz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4E31F82" wp14:editId="383C96CB">
            <wp:simplePos x="0" y="0"/>
            <wp:positionH relativeFrom="column">
              <wp:posOffset>397510</wp:posOffset>
            </wp:positionH>
            <wp:positionV relativeFrom="paragraph">
              <wp:posOffset>215900</wp:posOffset>
            </wp:positionV>
            <wp:extent cx="5241600" cy="3705797"/>
            <wp:effectExtent l="0" t="0" r="0" b="9525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pa_areadeestudo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1600" cy="3705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1F9A" w:rsidRPr="00BB1191">
        <w:rPr>
          <w:sz w:val="22"/>
        </w:rPr>
        <w:t xml:space="preserve">Figura 1 </w:t>
      </w:r>
      <w:r w:rsidR="00F70D75" w:rsidRPr="00BB1191">
        <w:rPr>
          <w:sz w:val="22"/>
        </w:rPr>
        <w:t>–</w:t>
      </w:r>
      <w:r w:rsidR="00101F9A" w:rsidRPr="00BB1191">
        <w:rPr>
          <w:sz w:val="22"/>
        </w:rPr>
        <w:t xml:space="preserve"> </w:t>
      </w:r>
      <w:r w:rsidR="00F70D75" w:rsidRPr="00BB1191">
        <w:rPr>
          <w:sz w:val="22"/>
        </w:rPr>
        <w:t>Mapa da área de estudo</w:t>
      </w:r>
    </w:p>
    <w:p w14:paraId="46A35FD2" w14:textId="77777777" w:rsidR="00E91133" w:rsidRPr="00BB1191" w:rsidRDefault="004570CE" w:rsidP="004B67B1">
      <w:pPr>
        <w:pStyle w:val="NormalWeb"/>
        <w:spacing w:line="360" w:lineRule="auto"/>
        <w:jc w:val="both"/>
        <w:rPr>
          <w:sz w:val="22"/>
        </w:rPr>
      </w:pPr>
      <w:r w:rsidRPr="00BB1191">
        <w:rPr>
          <w:sz w:val="22"/>
        </w:rPr>
        <w:t>Fonte: Autora</w:t>
      </w:r>
      <w:r w:rsidR="00E070B5" w:rsidRPr="00BB1191">
        <w:rPr>
          <w:sz w:val="22"/>
        </w:rPr>
        <w:t>s</w:t>
      </w:r>
      <w:r w:rsidRPr="00BB1191">
        <w:rPr>
          <w:sz w:val="22"/>
        </w:rPr>
        <w:t>, 2025.</w:t>
      </w:r>
    </w:p>
    <w:p w14:paraId="049FD296" w14:textId="5AF178DA" w:rsidR="00CA585E" w:rsidRPr="00BB1191" w:rsidRDefault="0092270F" w:rsidP="00903ABA">
      <w:pPr>
        <w:pStyle w:val="NormalWeb"/>
        <w:numPr>
          <w:ilvl w:val="1"/>
          <w:numId w:val="10"/>
        </w:numPr>
        <w:spacing w:line="360" w:lineRule="auto"/>
        <w:jc w:val="both"/>
      </w:pPr>
      <w:r>
        <w:lastRenderedPageBreak/>
        <w:t>PROCEDIMENTOS METODOLÓGICOS</w:t>
      </w:r>
    </w:p>
    <w:p w14:paraId="025E6910" w14:textId="77777777" w:rsidR="00CA585E" w:rsidRPr="00BB1191" w:rsidRDefault="00CA585E" w:rsidP="00466F89">
      <w:pPr>
        <w:pStyle w:val="NormalWeb"/>
        <w:spacing w:line="360" w:lineRule="auto"/>
        <w:ind w:firstLine="360"/>
        <w:jc w:val="both"/>
      </w:pPr>
      <w:r w:rsidRPr="00BB1191">
        <w:t xml:space="preserve">A delimitação da Bacia Hidrográfica do Rio Maracanã foi realizada utilizando um </w:t>
      </w:r>
      <w:r w:rsidRPr="00BB1191">
        <w:rPr>
          <w:rStyle w:val="Forte"/>
          <w:b w:val="0"/>
        </w:rPr>
        <w:t>Modelo Digital de Elevação (MD</w:t>
      </w:r>
      <w:r w:rsidR="00101836">
        <w:rPr>
          <w:rStyle w:val="Forte"/>
          <w:b w:val="0"/>
        </w:rPr>
        <w:t>E)</w:t>
      </w:r>
      <w:r w:rsidR="0092270F">
        <w:rPr>
          <w:rStyle w:val="Forte"/>
          <w:b w:val="0"/>
        </w:rPr>
        <w:t xml:space="preserve">, </w:t>
      </w:r>
      <w:r w:rsidR="0092270F" w:rsidRPr="0092270F">
        <w:rPr>
          <w:rStyle w:val="Forte"/>
          <w:b w:val="0"/>
        </w:rPr>
        <w:t>fornecido pelo serviço europeu Copernicus</w:t>
      </w:r>
      <w:r w:rsidR="0092270F">
        <w:rPr>
          <w:rStyle w:val="Forte"/>
          <w:b w:val="0"/>
        </w:rPr>
        <w:t>,</w:t>
      </w:r>
      <w:r w:rsidR="00101836">
        <w:rPr>
          <w:rStyle w:val="Forte"/>
          <w:b w:val="0"/>
        </w:rPr>
        <w:t xml:space="preserve"> com resolução espacial de 30</w:t>
      </w:r>
      <w:r w:rsidRPr="00BB1191">
        <w:rPr>
          <w:rStyle w:val="Forte"/>
          <w:b w:val="0"/>
        </w:rPr>
        <w:t>m</w:t>
      </w:r>
      <w:r w:rsidRPr="00BB1191">
        <w:t xml:space="preserve">. Para identificar os limites hidrológicos da bacia, utilizou-se o módulo </w:t>
      </w:r>
      <w:r w:rsidRPr="00BB1191">
        <w:rPr>
          <w:rStyle w:val="Forte"/>
          <w:b w:val="0"/>
        </w:rPr>
        <w:t>r.watershed do GRASS GIS</w:t>
      </w:r>
      <w:r w:rsidRPr="00BB1191">
        <w:t xml:space="preserve">, integrado ao </w:t>
      </w:r>
      <w:r w:rsidRPr="00BB1191">
        <w:rPr>
          <w:rStyle w:val="Forte"/>
          <w:b w:val="0"/>
        </w:rPr>
        <w:t>QGIS versão 3.40</w:t>
      </w:r>
      <w:r w:rsidRPr="00BB1191">
        <w:t>, permitindo a definição precisa do contorno da área de estudo.</w:t>
      </w:r>
    </w:p>
    <w:p w14:paraId="7AF13080" w14:textId="0642F9C9" w:rsidR="00CA585E" w:rsidRPr="00BB1191" w:rsidRDefault="00CA585E" w:rsidP="00466F89">
      <w:pPr>
        <w:pStyle w:val="NormalWeb"/>
        <w:spacing w:line="360" w:lineRule="auto"/>
        <w:ind w:firstLine="360"/>
        <w:jc w:val="both"/>
      </w:pPr>
      <w:r w:rsidRPr="00BB1191">
        <w:t xml:space="preserve">Para a análise do uso e cobertura do solo, foram utilizadas </w:t>
      </w:r>
      <w:r w:rsidRPr="00BB1191">
        <w:rPr>
          <w:rStyle w:val="Forte"/>
          <w:b w:val="0"/>
        </w:rPr>
        <w:t>imagens de satélite Landsat 8 OLI</w:t>
      </w:r>
      <w:r w:rsidRPr="00BB1191">
        <w:t>, disponibilizadas pelo</w:t>
      </w:r>
      <w:r w:rsidR="00E80926" w:rsidRPr="00BB1191">
        <w:t xml:space="preserve"> United States Geological Survey</w:t>
      </w:r>
      <w:r w:rsidRPr="00BB1191">
        <w:t xml:space="preserve"> </w:t>
      </w:r>
      <w:r w:rsidR="00E80926" w:rsidRPr="00BB1191">
        <w:t>(</w:t>
      </w:r>
      <w:r w:rsidRPr="00BB1191">
        <w:rPr>
          <w:rStyle w:val="Forte"/>
          <w:b w:val="0"/>
        </w:rPr>
        <w:t>USGS</w:t>
      </w:r>
      <w:r w:rsidR="00EC0C94">
        <w:rPr>
          <w:rStyle w:val="Forte"/>
          <w:b w:val="0"/>
        </w:rPr>
        <w:t xml:space="preserve">; </w:t>
      </w:r>
      <w:hyperlink r:id="rId11" w:history="1">
        <w:r w:rsidR="00101836" w:rsidRPr="00C624D1">
          <w:rPr>
            <w:rStyle w:val="Hiperligao"/>
          </w:rPr>
          <w:t>https://earthexplorer.usgs.gov</w:t>
        </w:r>
      </w:hyperlink>
      <w:r w:rsidR="00E80926" w:rsidRPr="00BB1191">
        <w:rPr>
          <w:rStyle w:val="Forte"/>
          <w:b w:val="0"/>
        </w:rPr>
        <w:t>)</w:t>
      </w:r>
      <w:r w:rsidRPr="00BB1191">
        <w:t xml:space="preserve">, com data de 23 de julho de 2023, abrangendo as cenas </w:t>
      </w:r>
      <w:r w:rsidR="0092270F">
        <w:t xml:space="preserve">(órbita/ponto) </w:t>
      </w:r>
      <w:r w:rsidR="00E91133" w:rsidRPr="00BB1191">
        <w:rPr>
          <w:rStyle w:val="Forte"/>
          <w:b w:val="0"/>
        </w:rPr>
        <w:t>223/060 e 223/</w:t>
      </w:r>
      <w:r w:rsidRPr="00BB1191">
        <w:rPr>
          <w:rStyle w:val="Forte"/>
          <w:b w:val="0"/>
        </w:rPr>
        <w:t>061</w:t>
      </w:r>
      <w:r w:rsidRPr="00BB1191">
        <w:t xml:space="preserve">. As imagens foram processadas e integradas em um </w:t>
      </w:r>
      <w:r w:rsidRPr="00BB1191">
        <w:rPr>
          <w:rStyle w:val="Forte"/>
          <w:b w:val="0"/>
        </w:rPr>
        <w:t>mosaico</w:t>
      </w:r>
      <w:r w:rsidR="0092270F">
        <w:rPr>
          <w:rStyle w:val="Forte"/>
          <w:b w:val="0"/>
        </w:rPr>
        <w:t xml:space="preserve"> de composição colorida</w:t>
      </w:r>
      <w:r w:rsidRPr="00BB1191">
        <w:t>, considerando as bandas 4 (vermelho), 5 (infravermelho próximo) e 6 (infravermelho de ondas curtas), que são sensíveis</w:t>
      </w:r>
      <w:r w:rsidR="0092270F">
        <w:t xml:space="preserve"> aos corpos hídricos, </w:t>
      </w:r>
      <w:r w:rsidRPr="00BB1191">
        <w:t xml:space="preserve"> à vegetação</w:t>
      </w:r>
      <w:r w:rsidR="0092270F">
        <w:t xml:space="preserve"> e ao</w:t>
      </w:r>
      <w:r w:rsidRPr="00BB1191">
        <w:t xml:space="preserve"> solo exposto</w:t>
      </w:r>
      <w:r w:rsidR="0092270F">
        <w:t>, respectivamente</w:t>
      </w:r>
      <w:r w:rsidRPr="00BB1191">
        <w:t>.</w:t>
      </w:r>
    </w:p>
    <w:p w14:paraId="11DE865B" w14:textId="527544A6" w:rsidR="00660645" w:rsidRPr="00BB1191" w:rsidRDefault="00660645" w:rsidP="00466F89">
      <w:pPr>
        <w:pStyle w:val="NormalWeb"/>
        <w:spacing w:line="360" w:lineRule="auto"/>
        <w:ind w:firstLine="360"/>
        <w:jc w:val="both"/>
      </w:pPr>
      <w:r w:rsidRPr="00BB1191">
        <w:t xml:space="preserve">A classificação do uso e cobertura do solo foi realizada com auxílio do </w:t>
      </w:r>
      <w:r w:rsidR="002D15A4">
        <w:t>plugin</w:t>
      </w:r>
      <w:r w:rsidRPr="00BB1191">
        <w:t xml:space="preserve"> Dzetsaka,</w:t>
      </w:r>
      <w:r w:rsidR="00EC0C94">
        <w:t xml:space="preserve"> utilizando uma classificação supervisionada baseada no algoritmo Gaussian Mixture Model (GMM),</w:t>
      </w:r>
      <w:r w:rsidRPr="00BB1191">
        <w:t xml:space="preserve"> adotando seis classes temáticas: (1) corpo d’água, (2) mangue, (3) solo exposto</w:t>
      </w:r>
      <w:r w:rsidR="005C51B7" w:rsidRPr="00BB1191">
        <w:t>, (4) floresta de terra firme</w:t>
      </w:r>
      <w:r w:rsidRPr="00BB1191">
        <w:t>, (5)</w:t>
      </w:r>
      <w:r w:rsidR="00743554" w:rsidRPr="00BB1191">
        <w:t xml:space="preserve"> nuvem</w:t>
      </w:r>
      <w:r w:rsidRPr="00BB1191">
        <w:t xml:space="preserve"> e (6)</w:t>
      </w:r>
      <w:r w:rsidR="00BD7480" w:rsidRPr="00BB1191">
        <w:t xml:space="preserve"> sombra</w:t>
      </w:r>
      <w:r w:rsidRPr="00BB1191">
        <w:t xml:space="preserve">. Para validar a classificação, construiu-se uma matriz de confusão, a partir da qual foram calculados os índices de acurácia geral e Kappa. Durante a validação, as classes </w:t>
      </w:r>
      <w:r w:rsidRPr="00BB1191">
        <w:rPr>
          <w:rStyle w:val="Forte"/>
          <w:b w:val="0"/>
        </w:rPr>
        <w:t>nuvem e sombra foram descartadas</w:t>
      </w:r>
      <w:r w:rsidRPr="00BB1191">
        <w:t xml:space="preserve">, considerando-se apenas as quatro classes correspondentes à cobertura efetiva do solo, </w:t>
      </w:r>
      <w:r w:rsidR="005C51B7" w:rsidRPr="00BB1191">
        <w:t>permitindo uma representação mais precisa da cobertura do solo.</w:t>
      </w:r>
    </w:p>
    <w:p w14:paraId="20D5122C" w14:textId="77D769B8" w:rsidR="00CC1404" w:rsidRPr="00BB1191" w:rsidRDefault="00CC1404" w:rsidP="00557219">
      <w:pPr>
        <w:pStyle w:val="NormalWeb"/>
        <w:numPr>
          <w:ilvl w:val="0"/>
          <w:numId w:val="10"/>
        </w:numPr>
        <w:spacing w:line="360" w:lineRule="auto"/>
        <w:jc w:val="both"/>
        <w:rPr>
          <w:rFonts w:eastAsiaTheme="minorHAnsi"/>
          <w:shd w:val="clear" w:color="auto" w:fill="FFFFFF"/>
          <w:lang w:eastAsia="en-US"/>
        </w:rPr>
      </w:pPr>
      <w:r w:rsidRPr="00BB1191">
        <w:rPr>
          <w:b/>
        </w:rPr>
        <w:t>RESULTADOS E DISCUSS</w:t>
      </w:r>
      <w:r w:rsidR="0092270F">
        <w:rPr>
          <w:b/>
        </w:rPr>
        <w:t>ÃO</w:t>
      </w:r>
    </w:p>
    <w:p w14:paraId="2926F5E8" w14:textId="1B29E490" w:rsidR="00BF382F" w:rsidRPr="00B34297" w:rsidRDefault="003176D0" w:rsidP="00BF382F">
      <w:pPr>
        <w:pStyle w:val="NormalWeb"/>
        <w:spacing w:line="360" w:lineRule="auto"/>
        <w:ind w:firstLine="360"/>
        <w:jc w:val="both"/>
        <w:rPr>
          <w:rFonts w:ascii="TimesNewRomanPSMT" w:eastAsiaTheme="minorHAnsi" w:hAnsi="TimesNewRomanPSMT" w:cstheme="minorBidi"/>
          <w:color w:val="000000"/>
          <w:lang w:eastAsia="en-US"/>
        </w:rPr>
      </w:pPr>
      <w:r w:rsidRPr="003176D0">
        <w:rPr>
          <w:rFonts w:ascii="TimesNewRomanPSMT" w:eastAsiaTheme="minorHAnsi" w:hAnsi="TimesNewRomanPSMT" w:cstheme="minorBidi"/>
          <w:color w:val="000000"/>
          <w:sz w:val="22"/>
          <w:szCs w:val="22"/>
          <w:lang w:eastAsia="en-US"/>
        </w:rPr>
        <w:t xml:space="preserve">A partir dos dados do </w:t>
      </w:r>
      <w:r w:rsidRPr="0092270F">
        <w:rPr>
          <w:rStyle w:val="Forte"/>
          <w:b w:val="0"/>
        </w:rPr>
        <w:t>Copernicus</w:t>
      </w:r>
      <w:r>
        <w:rPr>
          <w:rFonts w:ascii="TimesNewRomanPSMT" w:eastAsiaTheme="minorHAnsi" w:hAnsi="TimesNewRomanPSMT" w:cstheme="minorBidi"/>
          <w:color w:val="000000"/>
          <w:sz w:val="22"/>
          <w:szCs w:val="22"/>
          <w:lang w:eastAsia="en-US"/>
        </w:rPr>
        <w:t xml:space="preserve"> e da delimitação </w:t>
      </w:r>
      <w:r>
        <w:rPr>
          <w:rFonts w:eastAsiaTheme="minorHAnsi"/>
          <w:shd w:val="clear" w:color="auto" w:fill="FFFFFF"/>
          <w:lang w:eastAsia="en-US"/>
        </w:rPr>
        <w:t>d</w:t>
      </w:r>
      <w:r w:rsidRPr="00BB1191">
        <w:rPr>
          <w:rFonts w:eastAsiaTheme="minorHAnsi"/>
          <w:shd w:val="clear" w:color="auto" w:fill="FFFFFF"/>
          <w:lang w:eastAsia="en-US"/>
        </w:rPr>
        <w:t>a Bacia Hidrográfica do Rio Maracanã</w:t>
      </w:r>
      <w:r>
        <w:rPr>
          <w:rFonts w:eastAsiaTheme="minorHAnsi"/>
          <w:shd w:val="clear" w:color="auto" w:fill="FFFFFF"/>
          <w:lang w:eastAsia="en-US"/>
        </w:rPr>
        <w:t xml:space="preserve">, </w:t>
      </w:r>
      <w:r w:rsidR="009128DF">
        <w:rPr>
          <w:rStyle w:val="fontstyle01"/>
        </w:rPr>
        <w:t xml:space="preserve">a área total analisada possui </w:t>
      </w:r>
      <w:r w:rsidR="00045FE7" w:rsidRPr="00045FE7">
        <w:rPr>
          <w:rStyle w:val="fontstyle01"/>
        </w:rPr>
        <w:t>3676,31</w:t>
      </w:r>
      <w:r w:rsidR="00045FE7">
        <w:rPr>
          <w:rStyle w:val="fontstyle01"/>
        </w:rPr>
        <w:t xml:space="preserve"> </w:t>
      </w:r>
      <w:r w:rsidR="009128DF">
        <w:rPr>
          <w:rStyle w:val="fontstyle01"/>
        </w:rPr>
        <w:t>km</w:t>
      </w:r>
      <w:r w:rsidR="009128DF" w:rsidRPr="00F95D66">
        <w:rPr>
          <w:rStyle w:val="fontstyle01"/>
          <w:vertAlign w:val="superscript"/>
        </w:rPr>
        <w:t>2</w:t>
      </w:r>
      <w:r w:rsidR="009128DF" w:rsidRPr="00BF382F">
        <w:t>.</w:t>
      </w:r>
      <w:r w:rsidR="00BF382F" w:rsidRPr="00BF382F">
        <w:rPr>
          <w:rFonts w:ascii="TimesNewRomanPSMT" w:eastAsiaTheme="minorHAnsi" w:hAnsi="TimesNewRomanPSMT" w:cstheme="minorBidi"/>
          <w:color w:val="000000"/>
          <w:lang w:eastAsia="en-US"/>
        </w:rPr>
        <w:t xml:space="preserve"> </w:t>
      </w:r>
      <w:r w:rsidR="00BF382F" w:rsidRPr="00B34297">
        <w:rPr>
          <w:rFonts w:ascii="TimesNewRomanPSMT" w:eastAsiaTheme="minorHAnsi" w:hAnsi="TimesNewRomanPSMT" w:cstheme="minorBidi"/>
          <w:color w:val="000000"/>
          <w:lang w:eastAsia="en-US"/>
        </w:rPr>
        <w:t xml:space="preserve">Comparado o resultado com o obtido pela Agência Nacional de Águas (IBGE, 2021) com área de 3586,124 km², houve uma variação de 2,51%. Essa diferença de valor obtido, pode estar associado ao dado do MDE,  uso do software e/ou pelo método empregado para delimitar a bacia. Nesse caso, é importante considerar que a área </w:t>
      </w:r>
      <w:r w:rsidR="00BF382F" w:rsidRPr="00B34297">
        <w:rPr>
          <w:rFonts w:ascii="TimesNewRomanPSMT" w:eastAsiaTheme="minorHAnsi" w:hAnsi="TimesNewRomanPSMT" w:cstheme="minorBidi"/>
          <w:color w:val="000000"/>
          <w:lang w:eastAsia="en-US"/>
        </w:rPr>
        <w:lastRenderedPageBreak/>
        <w:t xml:space="preserve">de estudo está </w:t>
      </w:r>
      <w:r w:rsidR="00D46873" w:rsidRPr="00B34297">
        <w:rPr>
          <w:rFonts w:ascii="TimesNewRomanPSMT" w:eastAsiaTheme="minorHAnsi" w:hAnsi="TimesNewRomanPSMT" w:cstheme="minorBidi"/>
          <w:color w:val="000000"/>
          <w:lang w:eastAsia="en-US"/>
        </w:rPr>
        <w:t>localizada em</w:t>
      </w:r>
      <w:r w:rsidR="00BF382F" w:rsidRPr="00B34297">
        <w:rPr>
          <w:rFonts w:ascii="TimesNewRomanPSMT" w:eastAsiaTheme="minorHAnsi" w:hAnsi="TimesNewRomanPSMT" w:cstheme="minorBidi"/>
          <w:color w:val="000000"/>
          <w:lang w:eastAsia="en-US"/>
        </w:rPr>
        <w:t xml:space="preserve"> uma região com baixas altitudes, próximas ao </w:t>
      </w:r>
      <w:r w:rsidR="00D46873" w:rsidRPr="00B34297">
        <w:rPr>
          <w:rFonts w:ascii="TimesNewRomanPSMT" w:eastAsiaTheme="minorHAnsi" w:hAnsi="TimesNewRomanPSMT" w:cstheme="minorBidi"/>
          <w:color w:val="000000"/>
          <w:lang w:eastAsia="en-US"/>
        </w:rPr>
        <w:t>nível, o</w:t>
      </w:r>
      <w:r w:rsidR="00BF382F" w:rsidRPr="00B34297">
        <w:rPr>
          <w:rFonts w:ascii="TimesNewRomanPSMT" w:eastAsiaTheme="minorHAnsi" w:hAnsi="TimesNewRomanPSMT" w:cstheme="minorBidi"/>
          <w:color w:val="000000"/>
          <w:lang w:eastAsia="en-US"/>
        </w:rPr>
        <w:t xml:space="preserve"> que pode acarretar dificuldades de identificação do limiar entre a terra e o mar (Melo et al., 2020</w:t>
      </w:r>
      <w:r w:rsidR="00BF382F">
        <w:rPr>
          <w:rFonts w:ascii="TimesNewRomanPSMT" w:eastAsiaTheme="minorHAnsi" w:hAnsi="TimesNewRomanPSMT" w:cstheme="minorBidi"/>
          <w:color w:val="000000"/>
          <w:lang w:eastAsia="en-US"/>
        </w:rPr>
        <w:t xml:space="preserve">; </w:t>
      </w:r>
      <w:r w:rsidR="00BF382F" w:rsidRPr="00BF382F">
        <w:t xml:space="preserve"> </w:t>
      </w:r>
      <w:r w:rsidR="00BF382F" w:rsidRPr="00BF382F">
        <w:rPr>
          <w:rFonts w:ascii="TimesNewRomanPSMT" w:eastAsiaTheme="minorHAnsi" w:hAnsi="TimesNewRomanPSMT" w:cstheme="minorBidi"/>
          <w:color w:val="000000"/>
          <w:lang w:eastAsia="en-US"/>
        </w:rPr>
        <w:t>Raiol</w:t>
      </w:r>
      <w:r w:rsidR="00BF382F">
        <w:rPr>
          <w:rFonts w:ascii="TimesNewRomanPSMT" w:eastAsiaTheme="minorHAnsi" w:hAnsi="TimesNewRomanPSMT" w:cstheme="minorBidi"/>
          <w:color w:val="000000"/>
          <w:lang w:eastAsia="en-US"/>
        </w:rPr>
        <w:t xml:space="preserve"> et al</w:t>
      </w:r>
      <w:r w:rsidR="00976D11">
        <w:rPr>
          <w:rFonts w:ascii="TimesNewRomanPSMT" w:eastAsiaTheme="minorHAnsi" w:hAnsi="TimesNewRomanPSMT" w:cstheme="minorBidi"/>
          <w:color w:val="000000"/>
          <w:lang w:eastAsia="en-US"/>
        </w:rPr>
        <w:t>.</w:t>
      </w:r>
      <w:r w:rsidR="00BF382F">
        <w:rPr>
          <w:rFonts w:ascii="TimesNewRomanPSMT" w:eastAsiaTheme="minorHAnsi" w:hAnsi="TimesNewRomanPSMT" w:cstheme="minorBidi"/>
          <w:color w:val="000000"/>
          <w:lang w:eastAsia="en-US"/>
        </w:rPr>
        <w:t>, 2022</w:t>
      </w:r>
      <w:r w:rsidR="00BF382F" w:rsidRPr="00B34297">
        <w:rPr>
          <w:rFonts w:ascii="TimesNewRomanPSMT" w:eastAsiaTheme="minorHAnsi" w:hAnsi="TimesNewRomanPSMT" w:cstheme="minorBidi"/>
          <w:color w:val="000000"/>
          <w:lang w:eastAsia="en-US"/>
        </w:rPr>
        <w:t>).</w:t>
      </w:r>
    </w:p>
    <w:p w14:paraId="56B4898A" w14:textId="6A4FA6D4" w:rsidR="001071C9" w:rsidRPr="00BB1191" w:rsidRDefault="003176D0" w:rsidP="00466F89">
      <w:pPr>
        <w:pStyle w:val="NormalWeb"/>
        <w:spacing w:line="360" w:lineRule="auto"/>
        <w:ind w:firstLine="360"/>
        <w:jc w:val="both"/>
        <w:rPr>
          <w:rFonts w:eastAsiaTheme="minorHAnsi"/>
          <w:shd w:val="clear" w:color="auto" w:fill="FFFFFF"/>
          <w:lang w:eastAsia="en-US"/>
        </w:rPr>
      </w:pPr>
      <w:r w:rsidRPr="00F95D66">
        <w:rPr>
          <w:rFonts w:ascii="TimesNewRomanPSMT" w:eastAsiaTheme="minorHAnsi" w:hAnsi="TimesNewRomanPSMT" w:cstheme="minorBidi"/>
          <w:color w:val="000000"/>
          <w:lang w:eastAsia="en-US"/>
        </w:rPr>
        <w:t xml:space="preserve"> </w:t>
      </w:r>
      <w:r w:rsidR="00BB717E" w:rsidRPr="00BB1191">
        <w:rPr>
          <w:rFonts w:eastAsiaTheme="minorHAnsi"/>
          <w:shd w:val="clear" w:color="auto" w:fill="FFFFFF"/>
          <w:lang w:eastAsia="en-US"/>
        </w:rPr>
        <w:t xml:space="preserve">A análise do uso e cobertura do solo na Bacia Hidrográfica do Rio </w:t>
      </w:r>
      <w:r w:rsidR="00D46873" w:rsidRPr="00BB1191">
        <w:rPr>
          <w:rFonts w:eastAsiaTheme="minorHAnsi"/>
          <w:shd w:val="clear" w:color="auto" w:fill="FFFFFF"/>
          <w:lang w:eastAsia="en-US"/>
        </w:rPr>
        <w:t>Maracanã permitiu</w:t>
      </w:r>
      <w:r w:rsidR="00BB717E" w:rsidRPr="00BB1191">
        <w:rPr>
          <w:rFonts w:eastAsiaTheme="minorHAnsi"/>
          <w:shd w:val="clear" w:color="auto" w:fill="FFFFFF"/>
          <w:lang w:eastAsia="en-US"/>
        </w:rPr>
        <w:t xml:space="preserve"> identificar seis classes temáticas, onde a classe predominante foi a de Floresta de Terra Firme, ocupando</w:t>
      </w:r>
      <w:r w:rsidR="0073330E">
        <w:rPr>
          <w:rFonts w:eastAsiaTheme="minorHAnsi"/>
          <w:shd w:val="clear" w:color="auto" w:fill="FFFFFF"/>
          <w:lang w:eastAsia="en-US"/>
        </w:rPr>
        <w:t xml:space="preserve"> uma área de </w:t>
      </w:r>
      <w:r w:rsidR="0073330E" w:rsidRPr="00BB1191">
        <w:t>2493,23</w:t>
      </w:r>
      <w:r w:rsidR="0073330E">
        <w:t xml:space="preserve"> km</w:t>
      </w:r>
      <w:r w:rsidR="00D46873" w:rsidRPr="00F95D66">
        <w:rPr>
          <w:vertAlign w:val="superscript"/>
        </w:rPr>
        <w:t>2</w:t>
      </w:r>
      <w:r w:rsidR="00D46873" w:rsidRPr="00BB1191">
        <w:rPr>
          <w:rFonts w:eastAsiaTheme="minorHAnsi"/>
          <w:shd w:val="clear" w:color="auto" w:fill="FFFFFF"/>
          <w:lang w:eastAsia="en-US"/>
        </w:rPr>
        <w:t>,</w:t>
      </w:r>
      <w:r w:rsidR="00AB469A">
        <w:rPr>
          <w:rFonts w:eastAsiaTheme="minorHAnsi"/>
          <w:shd w:val="clear" w:color="auto" w:fill="FFFFFF"/>
          <w:lang w:eastAsia="en-US"/>
        </w:rPr>
        <w:t xml:space="preserve"> ou seja, </w:t>
      </w:r>
      <w:r w:rsidR="00BB717E" w:rsidRPr="00BB1191">
        <w:rPr>
          <w:rFonts w:eastAsiaTheme="minorHAnsi"/>
          <w:shd w:val="clear" w:color="auto" w:fill="FFFFFF"/>
          <w:lang w:eastAsia="en-US"/>
        </w:rPr>
        <w:t>67,82% da</w:t>
      </w:r>
      <w:r w:rsidR="00AB469A">
        <w:rPr>
          <w:rFonts w:eastAsiaTheme="minorHAnsi"/>
          <w:shd w:val="clear" w:color="auto" w:fill="FFFFFF"/>
          <w:lang w:eastAsia="en-US"/>
        </w:rPr>
        <w:t xml:space="preserve"> área total da</w:t>
      </w:r>
      <w:r w:rsidR="00BB717E" w:rsidRPr="00BB1191">
        <w:rPr>
          <w:rFonts w:eastAsiaTheme="minorHAnsi"/>
          <w:shd w:val="clear" w:color="auto" w:fill="FFFFFF"/>
          <w:lang w:eastAsia="en-US"/>
        </w:rPr>
        <w:t xml:space="preserve"> bacia</w:t>
      </w:r>
      <w:r w:rsidR="00AB469A">
        <w:rPr>
          <w:rFonts w:eastAsiaTheme="minorHAnsi"/>
          <w:shd w:val="clear" w:color="auto" w:fill="FFFFFF"/>
          <w:lang w:eastAsia="en-US"/>
        </w:rPr>
        <w:t>. Isto indica</w:t>
      </w:r>
      <w:r w:rsidR="00A0625E" w:rsidRPr="00BB1191">
        <w:rPr>
          <w:rFonts w:eastAsiaTheme="minorHAnsi"/>
          <w:shd w:val="clear" w:color="auto" w:fill="FFFFFF"/>
          <w:lang w:eastAsia="en-US"/>
        </w:rPr>
        <w:t xml:space="preserve"> a manutenção de extensas áreas de vegetação nativa</w:t>
      </w:r>
      <w:r w:rsidR="00AB469A">
        <w:rPr>
          <w:rFonts w:eastAsiaTheme="minorHAnsi"/>
          <w:shd w:val="clear" w:color="auto" w:fill="FFFFFF"/>
          <w:lang w:eastAsia="en-US"/>
        </w:rPr>
        <w:t xml:space="preserve"> na região analisada</w:t>
      </w:r>
      <w:r w:rsidR="00C3571B">
        <w:rPr>
          <w:rFonts w:eastAsiaTheme="minorHAnsi"/>
          <w:shd w:val="clear" w:color="auto" w:fill="FFFFFF"/>
          <w:lang w:eastAsia="en-US"/>
        </w:rPr>
        <w:t xml:space="preserve"> (Tabela 1 e Figura 2)</w:t>
      </w:r>
      <w:r w:rsidR="00A0625E" w:rsidRPr="00BB1191">
        <w:rPr>
          <w:rFonts w:eastAsiaTheme="minorHAnsi"/>
          <w:shd w:val="clear" w:color="auto" w:fill="FFFFFF"/>
          <w:lang w:eastAsia="en-US"/>
        </w:rPr>
        <w:t xml:space="preserve">. </w:t>
      </w:r>
      <w:r w:rsidR="00AB469A">
        <w:rPr>
          <w:rFonts w:eastAsiaTheme="minorHAnsi"/>
          <w:shd w:val="clear" w:color="auto" w:fill="FFFFFF"/>
          <w:lang w:eastAsia="en-US"/>
        </w:rPr>
        <w:t>Já o</w:t>
      </w:r>
      <w:r w:rsidR="00A0625E" w:rsidRPr="00BB1191">
        <w:rPr>
          <w:rFonts w:eastAsiaTheme="minorHAnsi"/>
          <w:shd w:val="clear" w:color="auto" w:fill="FFFFFF"/>
          <w:lang w:eastAsia="en-US"/>
        </w:rPr>
        <w:t xml:space="preserve"> Solo Exposto </w:t>
      </w:r>
      <w:r w:rsidR="00AB469A">
        <w:rPr>
          <w:rFonts w:eastAsiaTheme="minorHAnsi"/>
          <w:shd w:val="clear" w:color="auto" w:fill="FFFFFF"/>
          <w:lang w:eastAsia="en-US"/>
        </w:rPr>
        <w:t xml:space="preserve">apresentou uma área de </w:t>
      </w:r>
      <w:r w:rsidR="00AB469A" w:rsidRPr="00AB469A">
        <w:rPr>
          <w:rFonts w:eastAsiaTheme="minorHAnsi"/>
          <w:shd w:val="clear" w:color="auto" w:fill="FFFFFF"/>
          <w:lang w:eastAsia="en-US"/>
        </w:rPr>
        <w:t>721,54</w:t>
      </w:r>
      <w:r w:rsidR="00AB469A" w:rsidRPr="00AB469A">
        <w:t xml:space="preserve"> </w:t>
      </w:r>
      <w:r w:rsidR="00AB469A">
        <w:t>km</w:t>
      </w:r>
      <w:r w:rsidR="00AB469A" w:rsidRPr="00B34297">
        <w:rPr>
          <w:vertAlign w:val="superscript"/>
        </w:rPr>
        <w:t>2</w:t>
      </w:r>
      <w:r w:rsidR="00AB469A" w:rsidRPr="00F95D66">
        <w:t xml:space="preserve">, </w:t>
      </w:r>
      <w:r w:rsidR="00AB469A">
        <w:rPr>
          <w:rFonts w:eastAsiaTheme="minorHAnsi"/>
          <w:shd w:val="clear" w:color="auto" w:fill="FFFFFF"/>
          <w:lang w:eastAsia="en-US"/>
        </w:rPr>
        <w:t xml:space="preserve">o que </w:t>
      </w:r>
      <w:r w:rsidR="00A0625E" w:rsidRPr="00BB1191">
        <w:rPr>
          <w:rFonts w:eastAsiaTheme="minorHAnsi"/>
          <w:shd w:val="clear" w:color="auto" w:fill="FFFFFF"/>
          <w:lang w:eastAsia="en-US"/>
        </w:rPr>
        <w:t>corresponde a 19,63%</w:t>
      </w:r>
      <w:r w:rsidR="00AB469A">
        <w:rPr>
          <w:rFonts w:eastAsiaTheme="minorHAnsi"/>
          <w:shd w:val="clear" w:color="auto" w:fill="FFFFFF"/>
          <w:lang w:eastAsia="en-US"/>
        </w:rPr>
        <w:t xml:space="preserve"> da bacia</w:t>
      </w:r>
      <w:r w:rsidR="00A0625E" w:rsidRPr="00BB1191">
        <w:rPr>
          <w:rFonts w:eastAsiaTheme="minorHAnsi"/>
          <w:shd w:val="clear" w:color="auto" w:fill="FFFFFF"/>
          <w:lang w:eastAsia="en-US"/>
        </w:rPr>
        <w:t xml:space="preserve">, refletindo as áreas impactadas por atividades humanas. </w:t>
      </w:r>
      <w:r w:rsidR="00AB469A">
        <w:rPr>
          <w:rFonts w:eastAsiaTheme="minorHAnsi"/>
          <w:shd w:val="clear" w:color="auto" w:fill="FFFFFF"/>
          <w:lang w:eastAsia="en-US"/>
        </w:rPr>
        <w:t>Por outro lado, o</w:t>
      </w:r>
      <w:r w:rsidR="00A0625E" w:rsidRPr="00BB1191">
        <w:rPr>
          <w:rFonts w:eastAsiaTheme="minorHAnsi"/>
          <w:shd w:val="clear" w:color="auto" w:fill="FFFFFF"/>
          <w:lang w:eastAsia="en-US"/>
        </w:rPr>
        <w:t xml:space="preserve"> Mangue ocup</w:t>
      </w:r>
      <w:r w:rsidR="00AB469A">
        <w:rPr>
          <w:rFonts w:eastAsiaTheme="minorHAnsi"/>
          <w:shd w:val="clear" w:color="auto" w:fill="FFFFFF"/>
          <w:lang w:eastAsia="en-US"/>
        </w:rPr>
        <w:t>ou</w:t>
      </w:r>
      <w:r w:rsidR="00A0625E" w:rsidRPr="00BB1191">
        <w:rPr>
          <w:rFonts w:eastAsiaTheme="minorHAnsi"/>
          <w:shd w:val="clear" w:color="auto" w:fill="FFFFFF"/>
          <w:lang w:eastAsia="en-US"/>
        </w:rPr>
        <w:t xml:space="preserve"> </w:t>
      </w:r>
      <w:r w:rsidR="00AB469A" w:rsidRPr="00AB469A">
        <w:rPr>
          <w:rFonts w:eastAsiaTheme="minorHAnsi"/>
          <w:shd w:val="clear" w:color="auto" w:fill="FFFFFF"/>
          <w:lang w:eastAsia="en-US"/>
        </w:rPr>
        <w:t>142,96</w:t>
      </w:r>
      <w:r w:rsidR="00AB469A" w:rsidRPr="00AB469A">
        <w:t xml:space="preserve"> </w:t>
      </w:r>
      <w:r w:rsidR="00AB469A">
        <w:t>km</w:t>
      </w:r>
      <w:r w:rsidR="00AB469A" w:rsidRPr="00B34297">
        <w:rPr>
          <w:vertAlign w:val="superscript"/>
        </w:rPr>
        <w:t>2</w:t>
      </w:r>
      <w:r w:rsidR="00AB469A">
        <w:rPr>
          <w:vertAlign w:val="superscript"/>
        </w:rPr>
        <w:t xml:space="preserve"> </w:t>
      </w:r>
      <w:r w:rsidR="00AB469A" w:rsidRPr="00F95D66">
        <w:t>(</w:t>
      </w:r>
      <w:r w:rsidR="00A0625E" w:rsidRPr="00BB1191">
        <w:rPr>
          <w:rFonts w:eastAsiaTheme="minorHAnsi"/>
          <w:shd w:val="clear" w:color="auto" w:fill="FFFFFF"/>
          <w:lang w:eastAsia="en-US"/>
        </w:rPr>
        <w:t>3,89%</w:t>
      </w:r>
      <w:r w:rsidR="00AB469A">
        <w:rPr>
          <w:rFonts w:eastAsiaTheme="minorHAnsi"/>
          <w:shd w:val="clear" w:color="auto" w:fill="FFFFFF"/>
          <w:lang w:eastAsia="en-US"/>
        </w:rPr>
        <w:t>)</w:t>
      </w:r>
      <w:r w:rsidR="00A0625E" w:rsidRPr="00BB1191">
        <w:rPr>
          <w:rFonts w:eastAsiaTheme="minorHAnsi"/>
          <w:shd w:val="clear" w:color="auto" w:fill="FFFFFF"/>
          <w:lang w:eastAsia="en-US"/>
        </w:rPr>
        <w:t xml:space="preserve">, enquanto o corpo d’água representa </w:t>
      </w:r>
      <w:r w:rsidR="00AB469A" w:rsidRPr="00AB469A">
        <w:rPr>
          <w:rFonts w:eastAsiaTheme="minorHAnsi"/>
          <w:shd w:val="clear" w:color="auto" w:fill="FFFFFF"/>
          <w:lang w:eastAsia="en-US"/>
        </w:rPr>
        <w:t>128,34</w:t>
      </w:r>
      <w:r w:rsidR="00AB469A" w:rsidRPr="00AB469A">
        <w:t xml:space="preserve"> </w:t>
      </w:r>
      <w:r w:rsidR="00AB469A">
        <w:t>km</w:t>
      </w:r>
      <w:r w:rsidR="00AB469A" w:rsidRPr="00B34297">
        <w:rPr>
          <w:vertAlign w:val="superscript"/>
        </w:rPr>
        <w:t>2</w:t>
      </w:r>
      <w:r w:rsidR="00AB469A">
        <w:rPr>
          <w:vertAlign w:val="superscript"/>
        </w:rPr>
        <w:t xml:space="preserve"> </w:t>
      </w:r>
      <w:r w:rsidR="00AB469A" w:rsidRPr="00F95D66">
        <w:t>(</w:t>
      </w:r>
      <w:r w:rsidR="00A0625E" w:rsidRPr="00BB1191">
        <w:rPr>
          <w:rFonts w:eastAsiaTheme="minorHAnsi"/>
          <w:shd w:val="clear" w:color="auto" w:fill="FFFFFF"/>
          <w:lang w:eastAsia="en-US"/>
        </w:rPr>
        <w:t>3,49%</w:t>
      </w:r>
      <w:r w:rsidR="00AB469A">
        <w:rPr>
          <w:rFonts w:eastAsiaTheme="minorHAnsi"/>
          <w:shd w:val="clear" w:color="auto" w:fill="FFFFFF"/>
          <w:lang w:eastAsia="en-US"/>
        </w:rPr>
        <w:t>)</w:t>
      </w:r>
      <w:r w:rsidR="003F240F">
        <w:rPr>
          <w:rFonts w:eastAsiaTheme="minorHAnsi"/>
          <w:shd w:val="clear" w:color="auto" w:fill="FFFFFF"/>
          <w:lang w:eastAsia="en-US"/>
        </w:rPr>
        <w:t xml:space="preserve"> incluindo o canal principal do rio Maracanã e seus afluentes</w:t>
      </w:r>
      <w:r w:rsidR="00A0625E" w:rsidRPr="00BB1191">
        <w:rPr>
          <w:rFonts w:eastAsiaTheme="minorHAnsi"/>
          <w:shd w:val="clear" w:color="auto" w:fill="FFFFFF"/>
          <w:lang w:eastAsia="en-US"/>
        </w:rPr>
        <w:t>. As classes de Nu</w:t>
      </w:r>
      <w:r w:rsidR="003F240F">
        <w:rPr>
          <w:rFonts w:eastAsiaTheme="minorHAnsi"/>
          <w:shd w:val="clear" w:color="auto" w:fill="FFFFFF"/>
          <w:lang w:eastAsia="en-US"/>
        </w:rPr>
        <w:t>vem e Sombra totalizam 5,18%,</w:t>
      </w:r>
      <w:r w:rsidR="00A0625E" w:rsidRPr="00BB1191">
        <w:rPr>
          <w:rFonts w:eastAsiaTheme="minorHAnsi"/>
          <w:shd w:val="clear" w:color="auto" w:fill="FFFFFF"/>
          <w:lang w:eastAsia="en-US"/>
        </w:rPr>
        <w:t xml:space="preserve"> </w:t>
      </w:r>
      <w:r w:rsidR="00AB469A">
        <w:rPr>
          <w:rFonts w:eastAsiaTheme="minorHAnsi"/>
          <w:shd w:val="clear" w:color="auto" w:fill="FFFFFF"/>
          <w:lang w:eastAsia="en-US"/>
        </w:rPr>
        <w:t xml:space="preserve">e </w:t>
      </w:r>
      <w:r w:rsidR="00A0625E" w:rsidRPr="00BB1191">
        <w:rPr>
          <w:rFonts w:eastAsiaTheme="minorHAnsi"/>
          <w:shd w:val="clear" w:color="auto" w:fill="FFFFFF"/>
          <w:lang w:eastAsia="en-US"/>
        </w:rPr>
        <w:t>foram de</w:t>
      </w:r>
      <w:r w:rsidR="003F240F">
        <w:rPr>
          <w:rFonts w:eastAsiaTheme="minorHAnsi"/>
          <w:shd w:val="clear" w:color="auto" w:fill="FFFFFF"/>
          <w:lang w:eastAsia="en-US"/>
        </w:rPr>
        <w:t>sconsideradas durante o processo de validação</w:t>
      </w:r>
      <w:r w:rsidR="00A0625E" w:rsidRPr="00BB1191">
        <w:rPr>
          <w:rFonts w:eastAsiaTheme="minorHAnsi"/>
          <w:shd w:val="clear" w:color="auto" w:fill="FFFFFF"/>
          <w:lang w:eastAsia="en-US"/>
        </w:rPr>
        <w:t xml:space="preserve"> para </w:t>
      </w:r>
      <w:r w:rsidR="003F240F">
        <w:rPr>
          <w:rFonts w:eastAsiaTheme="minorHAnsi"/>
          <w:shd w:val="clear" w:color="auto" w:fill="FFFFFF"/>
          <w:lang w:eastAsia="en-US"/>
        </w:rPr>
        <w:t xml:space="preserve">que os resultados representassem </w:t>
      </w:r>
      <w:r w:rsidR="002D15A4">
        <w:rPr>
          <w:rFonts w:eastAsiaTheme="minorHAnsi"/>
          <w:shd w:val="clear" w:color="auto" w:fill="FFFFFF"/>
          <w:lang w:eastAsia="en-US"/>
        </w:rPr>
        <w:t>apen</w:t>
      </w:r>
      <w:r w:rsidR="00A0625E" w:rsidRPr="00BB1191">
        <w:rPr>
          <w:rFonts w:eastAsiaTheme="minorHAnsi"/>
          <w:shd w:val="clear" w:color="auto" w:fill="FFFFFF"/>
          <w:lang w:eastAsia="en-US"/>
        </w:rPr>
        <w:t>a</w:t>
      </w:r>
      <w:r w:rsidR="002D15A4">
        <w:rPr>
          <w:rFonts w:eastAsiaTheme="minorHAnsi"/>
          <w:shd w:val="clear" w:color="auto" w:fill="FFFFFF"/>
          <w:lang w:eastAsia="en-US"/>
        </w:rPr>
        <w:t>s a</w:t>
      </w:r>
      <w:r w:rsidR="00A0625E" w:rsidRPr="00BB1191">
        <w:rPr>
          <w:rFonts w:eastAsiaTheme="minorHAnsi"/>
          <w:shd w:val="clear" w:color="auto" w:fill="FFFFFF"/>
          <w:lang w:eastAsia="en-US"/>
        </w:rPr>
        <w:t xml:space="preserve"> cobertura efetiva do solo.</w:t>
      </w:r>
    </w:p>
    <w:p w14:paraId="670D5F2D" w14:textId="77777777" w:rsidR="00A0625E" w:rsidRPr="005F41B9" w:rsidRDefault="00A0625E" w:rsidP="005F41B9">
      <w:pPr>
        <w:pStyle w:val="NormalWeb"/>
        <w:jc w:val="both"/>
        <w:rPr>
          <w:rFonts w:eastAsiaTheme="minorHAnsi"/>
          <w:sz w:val="22"/>
          <w:shd w:val="clear" w:color="auto" w:fill="FFFFFF"/>
          <w:lang w:eastAsia="en-US"/>
        </w:rPr>
      </w:pPr>
      <w:r w:rsidRPr="005F41B9">
        <w:rPr>
          <w:rFonts w:eastAsiaTheme="minorHAnsi"/>
          <w:sz w:val="22"/>
          <w:shd w:val="clear" w:color="auto" w:fill="FFFFFF"/>
          <w:lang w:eastAsia="en-US"/>
        </w:rPr>
        <w:t>Tabela 1 – Área ocupada por cada classe de uso e cobertura do solo na BHRM</w:t>
      </w:r>
      <w:r w:rsidR="00AB469A">
        <w:rPr>
          <w:rFonts w:eastAsiaTheme="minorHAnsi"/>
          <w:sz w:val="22"/>
          <w:shd w:val="clear" w:color="auto" w:fill="FFFFFF"/>
          <w:lang w:eastAsia="en-US"/>
        </w:rPr>
        <w:t>, Pará.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9"/>
        <w:gridCol w:w="1139"/>
        <w:gridCol w:w="1853"/>
      </w:tblGrid>
      <w:tr w:rsidR="009F0A12" w:rsidRPr="00BB1191" w14:paraId="5A74C3A6" w14:textId="77777777" w:rsidTr="00D11D3E">
        <w:trPr>
          <w:trHeight w:val="510"/>
          <w:jc w:val="center"/>
        </w:trPr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093EB5" w14:textId="77777777" w:rsidR="009F0A12" w:rsidRPr="00BB1191" w:rsidRDefault="009F0A12" w:rsidP="005F41B9">
            <w:pPr>
              <w:spacing w:after="120" w:line="240" w:lineRule="auto"/>
              <w:ind w:left="38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Classe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B754D0" w14:textId="77777777" w:rsidR="009F0A12" w:rsidRPr="00BB1191" w:rsidRDefault="009F0A12" w:rsidP="00F95D66">
            <w:pPr>
              <w:spacing w:after="120" w:line="240" w:lineRule="auto"/>
              <w:ind w:left="38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Km²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3D65BB" w14:textId="77777777" w:rsidR="009F0A12" w:rsidRPr="00BB1191" w:rsidRDefault="009F0A12" w:rsidP="00F95D66">
            <w:pPr>
              <w:spacing w:after="120" w:line="240" w:lineRule="auto"/>
              <w:ind w:left="38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Área em %</w:t>
            </w:r>
          </w:p>
        </w:tc>
      </w:tr>
      <w:tr w:rsidR="009F0A12" w:rsidRPr="00BB1191" w14:paraId="06B2064E" w14:textId="77777777" w:rsidTr="00D11D3E">
        <w:trPr>
          <w:trHeight w:val="540"/>
          <w:jc w:val="center"/>
        </w:trPr>
        <w:tc>
          <w:tcPr>
            <w:tcW w:w="0" w:type="auto"/>
            <w:tcBorders>
              <w:top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8295F0" w14:textId="77777777" w:rsidR="009F0A12" w:rsidRPr="00BB1191" w:rsidRDefault="009F0A12" w:rsidP="005F41B9">
            <w:pPr>
              <w:spacing w:line="240" w:lineRule="auto"/>
              <w:ind w:left="38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Corpo d’água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BF01D6" w14:textId="33EACEFD" w:rsidR="009F0A12" w:rsidRPr="00BB1191" w:rsidRDefault="009F0A12" w:rsidP="00F95D66">
            <w:pPr>
              <w:spacing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1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128,34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B64CED" w14:textId="77777777" w:rsidR="009F0A12" w:rsidRPr="00BB1191" w:rsidRDefault="009C5529" w:rsidP="00F95D66">
            <w:pPr>
              <w:spacing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1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3,49</w:t>
            </w:r>
          </w:p>
        </w:tc>
      </w:tr>
      <w:tr w:rsidR="009F0A12" w:rsidRPr="00BB1191" w14:paraId="2EE17B43" w14:textId="77777777" w:rsidTr="00D11D3E">
        <w:trPr>
          <w:trHeight w:val="525"/>
          <w:jc w:val="center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A88884" w14:textId="77777777" w:rsidR="009F0A12" w:rsidRPr="00BB1191" w:rsidRDefault="009F0A12" w:rsidP="005F41B9">
            <w:pPr>
              <w:spacing w:line="240" w:lineRule="auto"/>
              <w:ind w:left="38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Mangue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8A3A45" w14:textId="521398A0" w:rsidR="009F0A12" w:rsidRPr="00BB1191" w:rsidRDefault="00113804" w:rsidP="00F95D66">
            <w:pPr>
              <w:spacing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1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142,96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EA4EE4" w14:textId="77777777" w:rsidR="009F0A12" w:rsidRPr="00BB1191" w:rsidRDefault="009C5529" w:rsidP="00F95D66">
            <w:pPr>
              <w:spacing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1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3,89</w:t>
            </w:r>
          </w:p>
        </w:tc>
      </w:tr>
      <w:tr w:rsidR="009F0A12" w:rsidRPr="00BB1191" w14:paraId="07F816D2" w14:textId="77777777" w:rsidTr="00D11D3E">
        <w:trPr>
          <w:trHeight w:val="525"/>
          <w:jc w:val="center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428B8A" w14:textId="77777777" w:rsidR="009F0A12" w:rsidRPr="00BB1191" w:rsidRDefault="009F0A12" w:rsidP="005F41B9">
            <w:pPr>
              <w:spacing w:line="240" w:lineRule="auto"/>
              <w:ind w:left="38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Solo exposto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EFEA92" w14:textId="77777777" w:rsidR="009F0A12" w:rsidRPr="00BB1191" w:rsidRDefault="00113804" w:rsidP="00F95D66">
            <w:pPr>
              <w:spacing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1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721,54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06E125" w14:textId="77777777" w:rsidR="009F0A12" w:rsidRPr="00BB1191" w:rsidRDefault="009C5529" w:rsidP="00F95D66">
            <w:pPr>
              <w:spacing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1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19,63</w:t>
            </w:r>
          </w:p>
        </w:tc>
      </w:tr>
      <w:tr w:rsidR="009F0A12" w:rsidRPr="00BB1191" w14:paraId="2E928C06" w14:textId="77777777" w:rsidTr="00D11D3E">
        <w:trPr>
          <w:trHeight w:val="499"/>
          <w:jc w:val="center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90299D" w14:textId="77777777" w:rsidR="009F0A12" w:rsidRPr="00BB1191" w:rsidRDefault="009F0A12" w:rsidP="005F41B9">
            <w:pPr>
              <w:spacing w:line="240" w:lineRule="auto"/>
              <w:ind w:left="38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Floresta de terra firme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995622" w14:textId="77777777" w:rsidR="009F0A12" w:rsidRPr="00BB1191" w:rsidRDefault="00113804" w:rsidP="00F95D66">
            <w:pPr>
              <w:spacing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1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2493,23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8A37FD" w14:textId="77777777" w:rsidR="009F0A12" w:rsidRPr="00BB1191" w:rsidRDefault="009C5529" w:rsidP="00F95D66">
            <w:pPr>
              <w:spacing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1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67,82</w:t>
            </w:r>
          </w:p>
        </w:tc>
      </w:tr>
      <w:tr w:rsidR="009F0A12" w:rsidRPr="00BB1191" w14:paraId="00BECAEC" w14:textId="77777777" w:rsidTr="00D11D3E">
        <w:trPr>
          <w:trHeight w:val="525"/>
          <w:jc w:val="center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1294FA" w14:textId="77777777" w:rsidR="009F0A12" w:rsidRPr="00BB1191" w:rsidRDefault="009F0A12" w:rsidP="005F41B9">
            <w:pPr>
              <w:spacing w:line="240" w:lineRule="auto"/>
              <w:ind w:left="38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Sombra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EA1526" w14:textId="77777777" w:rsidR="009F0A12" w:rsidRPr="00BB1191" w:rsidRDefault="00113804" w:rsidP="00F95D66">
            <w:pPr>
              <w:spacing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1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144,33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3A1830" w14:textId="77777777" w:rsidR="009F0A12" w:rsidRPr="00BB1191" w:rsidRDefault="009C5529" w:rsidP="00F95D66">
            <w:pPr>
              <w:spacing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1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3,93</w:t>
            </w:r>
          </w:p>
        </w:tc>
      </w:tr>
      <w:tr w:rsidR="009F0A12" w:rsidRPr="00BB1191" w14:paraId="56D25869" w14:textId="77777777" w:rsidTr="00F95D66">
        <w:trPr>
          <w:trHeight w:val="540"/>
          <w:jc w:val="center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7B7F46" w14:textId="77777777" w:rsidR="009F0A12" w:rsidRPr="00BB1191" w:rsidRDefault="009F0A12" w:rsidP="005F41B9">
            <w:pPr>
              <w:spacing w:line="240" w:lineRule="auto"/>
              <w:ind w:left="38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Nuvem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CE7B78" w14:textId="54D30E5C" w:rsidR="009F0A12" w:rsidRPr="00BB1191" w:rsidRDefault="00113804" w:rsidP="00F95D66">
            <w:pPr>
              <w:spacing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1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45,9</w:t>
            </w:r>
            <w:r w:rsidR="003176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63842B" w14:textId="77777777" w:rsidR="009F0A12" w:rsidRPr="00BB1191" w:rsidRDefault="009C5529" w:rsidP="00F95D66">
            <w:pPr>
              <w:spacing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1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1,25</w:t>
            </w:r>
          </w:p>
        </w:tc>
      </w:tr>
      <w:tr w:rsidR="00AB469A" w:rsidRPr="00BB1191" w14:paraId="727ABDE8" w14:textId="77777777" w:rsidTr="00D11D3E">
        <w:trPr>
          <w:trHeight w:val="540"/>
          <w:jc w:val="center"/>
        </w:trPr>
        <w:tc>
          <w:tcPr>
            <w:tcW w:w="0" w:type="auto"/>
            <w:tcBorders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969879" w14:textId="77777777" w:rsidR="00AB469A" w:rsidRPr="00BB1191" w:rsidRDefault="00AB469A" w:rsidP="005F41B9">
            <w:pPr>
              <w:spacing w:line="240" w:lineRule="auto"/>
              <w:ind w:left="380" w:right="10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43C1D" w14:textId="77777777" w:rsidR="00AB469A" w:rsidRPr="00BB1191" w:rsidRDefault="00AB469A" w:rsidP="00AB469A">
            <w:pPr>
              <w:spacing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r w:rsidR="003176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676,31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62FC6C" w14:textId="77777777" w:rsidR="00AB469A" w:rsidRPr="00BB1191" w:rsidRDefault="00AB469A" w:rsidP="00AB469A">
            <w:pPr>
              <w:spacing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</w:tr>
    </w:tbl>
    <w:p w14:paraId="69D46517" w14:textId="77777777" w:rsidR="00C06144" w:rsidRPr="004F66AD" w:rsidRDefault="00A0625E" w:rsidP="005F41B9">
      <w:pPr>
        <w:pStyle w:val="NormalWeb"/>
        <w:jc w:val="both"/>
        <w:rPr>
          <w:rFonts w:eastAsiaTheme="minorHAnsi"/>
          <w:sz w:val="22"/>
          <w:shd w:val="clear" w:color="auto" w:fill="FFFFFF"/>
          <w:lang w:eastAsia="en-US"/>
        </w:rPr>
      </w:pPr>
      <w:r w:rsidRPr="004F66AD">
        <w:rPr>
          <w:rFonts w:eastAsiaTheme="minorHAnsi"/>
          <w:sz w:val="22"/>
          <w:shd w:val="clear" w:color="auto" w:fill="FFFFFF"/>
          <w:lang w:eastAsia="en-US"/>
        </w:rPr>
        <w:t>Fonte: Autora</w:t>
      </w:r>
      <w:r w:rsidR="00E070B5" w:rsidRPr="004F66AD">
        <w:rPr>
          <w:rFonts w:eastAsiaTheme="minorHAnsi"/>
          <w:sz w:val="22"/>
          <w:shd w:val="clear" w:color="auto" w:fill="FFFFFF"/>
          <w:lang w:eastAsia="en-US"/>
        </w:rPr>
        <w:t>s</w:t>
      </w:r>
      <w:r w:rsidRPr="004F66AD">
        <w:rPr>
          <w:rFonts w:eastAsiaTheme="minorHAnsi"/>
          <w:sz w:val="22"/>
          <w:shd w:val="clear" w:color="auto" w:fill="FFFFFF"/>
          <w:lang w:eastAsia="en-US"/>
        </w:rPr>
        <w:t xml:space="preserve"> </w:t>
      </w:r>
      <w:r w:rsidR="005F41B9">
        <w:rPr>
          <w:rFonts w:eastAsiaTheme="minorHAnsi"/>
          <w:sz w:val="22"/>
          <w:shd w:val="clear" w:color="auto" w:fill="FFFFFF"/>
          <w:lang w:eastAsia="en-US"/>
        </w:rPr>
        <w:t>(</w:t>
      </w:r>
      <w:r w:rsidRPr="004F66AD">
        <w:rPr>
          <w:rFonts w:eastAsiaTheme="minorHAnsi"/>
          <w:sz w:val="22"/>
          <w:shd w:val="clear" w:color="auto" w:fill="FFFFFF"/>
          <w:lang w:eastAsia="en-US"/>
        </w:rPr>
        <w:t>2025</w:t>
      </w:r>
      <w:r w:rsidR="005F41B9">
        <w:rPr>
          <w:rFonts w:eastAsiaTheme="minorHAnsi"/>
          <w:sz w:val="22"/>
          <w:shd w:val="clear" w:color="auto" w:fill="FFFFFF"/>
          <w:lang w:eastAsia="en-US"/>
        </w:rPr>
        <w:t>)</w:t>
      </w:r>
      <w:r w:rsidRPr="004F66AD">
        <w:rPr>
          <w:rFonts w:eastAsiaTheme="minorHAnsi"/>
          <w:sz w:val="22"/>
          <w:shd w:val="clear" w:color="auto" w:fill="FFFFFF"/>
          <w:lang w:eastAsia="en-US"/>
        </w:rPr>
        <w:t>.</w:t>
      </w:r>
    </w:p>
    <w:p w14:paraId="14370E48" w14:textId="77777777" w:rsidR="00101F9A" w:rsidRDefault="005F41B9" w:rsidP="005F41B9">
      <w:pPr>
        <w:pStyle w:val="NormalWeb"/>
        <w:ind w:left="360"/>
        <w:jc w:val="center"/>
        <w:rPr>
          <w:rFonts w:eastAsiaTheme="minorHAnsi"/>
          <w:sz w:val="22"/>
          <w:szCs w:val="22"/>
          <w:shd w:val="clear" w:color="auto" w:fill="FFFFFF"/>
          <w:lang w:eastAsia="en-US"/>
        </w:rPr>
      </w:pPr>
      <w:r>
        <w:rPr>
          <w:rFonts w:eastAsiaTheme="minorHAnsi"/>
          <w:noProof/>
          <w:sz w:val="22"/>
          <w:szCs w:val="22"/>
          <w:shd w:val="clear" w:color="auto" w:fill="FFFFFF"/>
        </w:rPr>
        <w:lastRenderedPageBreak/>
        <w:drawing>
          <wp:anchor distT="0" distB="0" distL="114300" distR="114300" simplePos="0" relativeHeight="251659264" behindDoc="0" locked="0" layoutInCell="1" allowOverlap="1" wp14:anchorId="0771B80D" wp14:editId="30AE7715">
            <wp:simplePos x="0" y="0"/>
            <wp:positionH relativeFrom="column">
              <wp:posOffset>377190</wp:posOffset>
            </wp:positionH>
            <wp:positionV relativeFrom="paragraph">
              <wp:posOffset>231541</wp:posOffset>
            </wp:positionV>
            <wp:extent cx="5241600" cy="3706952"/>
            <wp:effectExtent l="0" t="0" r="0" b="8255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a_Uso_e_cobertura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1600" cy="3706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1F9A" w:rsidRPr="00BB1191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Figura 2 – </w:t>
      </w:r>
      <w:r w:rsidR="006B6E22" w:rsidRPr="00BB1191">
        <w:rPr>
          <w:rFonts w:eastAsiaTheme="minorHAnsi"/>
          <w:sz w:val="22"/>
          <w:szCs w:val="22"/>
          <w:shd w:val="clear" w:color="auto" w:fill="FFFFFF"/>
          <w:lang w:eastAsia="en-US"/>
        </w:rPr>
        <w:t>Mapa de uso e cobertura da BHRM</w:t>
      </w:r>
    </w:p>
    <w:p w14:paraId="1F2B9B5A" w14:textId="77777777" w:rsidR="004F66AD" w:rsidRPr="00BB1191" w:rsidRDefault="004F66AD" w:rsidP="004F66AD">
      <w:pPr>
        <w:pStyle w:val="NormalWeb"/>
        <w:ind w:left="360"/>
        <w:jc w:val="center"/>
        <w:rPr>
          <w:rFonts w:eastAsiaTheme="minorHAnsi"/>
          <w:sz w:val="22"/>
          <w:szCs w:val="22"/>
          <w:shd w:val="clear" w:color="auto" w:fill="FFFFFF"/>
          <w:lang w:eastAsia="en-US"/>
        </w:rPr>
      </w:pPr>
    </w:p>
    <w:p w14:paraId="66F39233" w14:textId="77777777" w:rsidR="00101F9A" w:rsidRPr="00BB1191" w:rsidRDefault="006B6E22" w:rsidP="005F41B9">
      <w:pPr>
        <w:pStyle w:val="NormalWeb"/>
        <w:jc w:val="both"/>
        <w:rPr>
          <w:rFonts w:eastAsiaTheme="minorHAnsi"/>
          <w:sz w:val="22"/>
          <w:shd w:val="clear" w:color="auto" w:fill="FFFFFF"/>
          <w:lang w:eastAsia="en-US"/>
        </w:rPr>
      </w:pPr>
      <w:r w:rsidRPr="00BB1191">
        <w:rPr>
          <w:rFonts w:eastAsiaTheme="minorHAnsi"/>
          <w:sz w:val="22"/>
          <w:shd w:val="clear" w:color="auto" w:fill="FFFFFF"/>
          <w:lang w:eastAsia="en-US"/>
        </w:rPr>
        <w:t>Fonte: Autora</w:t>
      </w:r>
      <w:r w:rsidR="00E070B5" w:rsidRPr="00BB1191">
        <w:rPr>
          <w:rFonts w:eastAsiaTheme="minorHAnsi"/>
          <w:sz w:val="22"/>
          <w:shd w:val="clear" w:color="auto" w:fill="FFFFFF"/>
          <w:lang w:eastAsia="en-US"/>
        </w:rPr>
        <w:t>s</w:t>
      </w:r>
      <w:r w:rsidRPr="00BB1191">
        <w:rPr>
          <w:rFonts w:eastAsiaTheme="minorHAnsi"/>
          <w:sz w:val="22"/>
          <w:shd w:val="clear" w:color="auto" w:fill="FFFFFF"/>
          <w:lang w:eastAsia="en-US"/>
        </w:rPr>
        <w:t>, 2025.</w:t>
      </w:r>
    </w:p>
    <w:p w14:paraId="293CABCF" w14:textId="7F5052B2" w:rsidR="00A0625E" w:rsidRPr="00BB1191" w:rsidRDefault="006F21AD" w:rsidP="004808AB">
      <w:pPr>
        <w:pStyle w:val="NormalWeb"/>
        <w:spacing w:line="360" w:lineRule="auto"/>
        <w:ind w:firstLine="360"/>
        <w:jc w:val="both"/>
      </w:pPr>
      <w:r w:rsidRPr="00BB1191">
        <w:t>A distribuição espacial das classes evidencia a influência de</w:t>
      </w:r>
      <w:r w:rsidR="00257296" w:rsidRPr="00BB1191">
        <w:t xml:space="preserve"> fatores naturais e antrópicos. </w:t>
      </w:r>
      <w:r w:rsidRPr="00BB1191">
        <w:t>Áreas de solo exposto concentram-se próximas a centros urbanos e margens de rios, enquanto a floresta de terra firme predomina nas regiões menos impactadas.</w:t>
      </w:r>
      <w:r w:rsidR="002877AB">
        <w:t xml:space="preserve"> De modo semelhante, Raiol (2024) observou que a degradação ambiental nas unidades hídricas da bacia está associada à redução da cobertura vegetal, especialmente nas regiões de médio e alto curso, onde a pressão sobre os recursos naturais é mais intensa.</w:t>
      </w:r>
    </w:p>
    <w:p w14:paraId="1797F2A7" w14:textId="59732617" w:rsidR="00A66A98" w:rsidRPr="00BB1191" w:rsidRDefault="006F21AD" w:rsidP="00466F89">
      <w:pPr>
        <w:pStyle w:val="NormalWeb"/>
        <w:spacing w:line="360" w:lineRule="auto"/>
        <w:ind w:firstLine="360"/>
        <w:jc w:val="both"/>
      </w:pPr>
      <w:r w:rsidRPr="00BB1191">
        <w:t>A classificação foi validada utilizando uma matriz de confusão, considerando apenas as quatro classes representativas da cobertura efetiva do solo (Corpo d’água; Mangue; Solo Exposto e Floresta de Terra Firme), descartando as classes de Sombra e Nuvem.</w:t>
      </w:r>
      <w:r w:rsidR="00A66A98" w:rsidRPr="00BB1191">
        <w:t xml:space="preserve"> A matriz de confusão constitui uma forma de representar a qualidade de uma classificação digital de imagem, sendo expressa pela correlação entre os dados de referência, considerados verdadeiros, e os dados classificados. Essa análise também pode ser realizada com base nas amostras de </w:t>
      </w:r>
      <w:r w:rsidR="00A66A98" w:rsidRPr="00BB1191">
        <w:lastRenderedPageBreak/>
        <w:t>treinamento em conjunto com os dados classificados, abordagem frequentemente utilizada em trabalhos científicos, especialmente em situações nas quais não há dados de referência disponíveis, tornando inviável a primeira forma de avaliação. (P</w:t>
      </w:r>
      <w:r w:rsidR="00976D11" w:rsidRPr="00BB1191">
        <w:t>rina</w:t>
      </w:r>
      <w:r w:rsidR="00A66A98" w:rsidRPr="00BB1191">
        <w:t>; T</w:t>
      </w:r>
      <w:r w:rsidR="00432D9E" w:rsidRPr="00BB1191">
        <w:t>rentin</w:t>
      </w:r>
      <w:r w:rsidR="00A66A98" w:rsidRPr="00BB1191">
        <w:t>, 2015).</w:t>
      </w:r>
    </w:p>
    <w:p w14:paraId="40FD1455" w14:textId="62287AC3" w:rsidR="00A66A98" w:rsidRDefault="00C16B4D" w:rsidP="000C01B8">
      <w:pPr>
        <w:pStyle w:val="NormalWeb"/>
        <w:spacing w:line="360" w:lineRule="auto"/>
        <w:ind w:firstLine="360"/>
        <w:jc w:val="both"/>
      </w:pPr>
      <w:r w:rsidRPr="00BB1191">
        <w:t>A validação da classificação revelou um índice Kappa de 0,817 e uma acurácia geral de 86,25%</w:t>
      </w:r>
      <w:r w:rsidR="00C3571B">
        <w:t xml:space="preserve"> (Tabela 2)</w:t>
      </w:r>
      <w:r w:rsidRPr="00BB1191">
        <w:t>, indicando que a maioria das classes foi corretamente identificada. O índice Kappa é uma métrica que avalia o nível de concordância entre os dados classificados e os dados de referência, considerando também a concordância que poderia ocorrer por acaso. A acurácia global indica a fração de pontos de referência que foram corretamente classificados em relação ao total de pontos analisados (</w:t>
      </w:r>
      <w:r w:rsidRPr="00976D11">
        <w:t>C</w:t>
      </w:r>
      <w:r w:rsidR="00976D11" w:rsidRPr="00976D11">
        <w:t>ongalton</w:t>
      </w:r>
      <w:r w:rsidRPr="00976D11">
        <w:t>; G</w:t>
      </w:r>
      <w:r w:rsidR="00976D11" w:rsidRPr="00976D11">
        <w:t>reen, 2008</w:t>
      </w:r>
      <w:r w:rsidRPr="00976D11">
        <w:t xml:space="preserve"> </w:t>
      </w:r>
      <w:r w:rsidRPr="00976D11">
        <w:rPr>
          <w:i/>
        </w:rPr>
        <w:t>apud</w:t>
      </w:r>
      <w:r w:rsidRPr="00976D11">
        <w:t xml:space="preserve"> </w:t>
      </w:r>
      <w:r w:rsidR="00724CE6" w:rsidRPr="00976D11">
        <w:t>P</w:t>
      </w:r>
      <w:r w:rsidR="00976D11" w:rsidRPr="00976D11">
        <w:t>inagé</w:t>
      </w:r>
      <w:r w:rsidR="00724CE6" w:rsidRPr="00976D11">
        <w:t>; M</w:t>
      </w:r>
      <w:r w:rsidR="00976D11" w:rsidRPr="00976D11">
        <w:t>atricardi</w:t>
      </w:r>
      <w:r w:rsidR="00724CE6" w:rsidRPr="00976D11">
        <w:t>, 2015</w:t>
      </w:r>
      <w:r w:rsidRPr="00BB1191">
        <w:t>). A matriz de confusão evidencia que as classes Corpo d’água e Solo Exposto apresentaram alta precisão, enquanto pequenas diferenças foram observadas nas classes de Mangue e Floresta de Terra Firme</w:t>
      </w:r>
      <w:r w:rsidR="002D15A4">
        <w:t>, possivelmente em razão da semelhança espectral entre as áreas</w:t>
      </w:r>
      <w:r w:rsidRPr="00BB1191">
        <w:t>. A exclusão das classes de Nuvem e Sombra durante a validação assegurou que os resultados representassem apenas a cobertura efetiva do solo.</w:t>
      </w:r>
    </w:p>
    <w:p w14:paraId="5AE3D4D3" w14:textId="77777777" w:rsidR="00C3571B" w:rsidRPr="00BB1191" w:rsidRDefault="00C3571B" w:rsidP="00C3571B">
      <w:pPr>
        <w:pStyle w:val="NormalWeb"/>
        <w:jc w:val="both"/>
        <w:rPr>
          <w:rFonts w:eastAsiaTheme="minorHAnsi"/>
          <w:sz w:val="22"/>
          <w:szCs w:val="22"/>
          <w:shd w:val="clear" w:color="auto" w:fill="FFFFFF"/>
          <w:lang w:eastAsia="en-US"/>
        </w:rPr>
      </w:pPr>
      <w:r w:rsidRPr="00BB1191">
        <w:rPr>
          <w:rFonts w:eastAsiaTheme="minorHAnsi"/>
          <w:sz w:val="22"/>
          <w:szCs w:val="22"/>
          <w:shd w:val="clear" w:color="auto" w:fill="FFFFFF"/>
          <w:lang w:eastAsia="en-US"/>
        </w:rPr>
        <w:t>Tabela 2 – Matriz de confusão das classes validad</w:t>
      </w:r>
      <w:bookmarkStart w:id="0" w:name="_GoBack"/>
      <w:bookmarkEnd w:id="0"/>
      <w:r w:rsidRPr="00BB1191">
        <w:rPr>
          <w:rFonts w:eastAsiaTheme="minorHAnsi"/>
          <w:sz w:val="22"/>
          <w:szCs w:val="22"/>
          <w:shd w:val="clear" w:color="auto" w:fill="FFFFFF"/>
          <w:lang w:eastAsia="en-US"/>
        </w:rPr>
        <w:t>as</w:t>
      </w:r>
    </w:p>
    <w:tbl>
      <w:tblPr>
        <w:tblStyle w:val="Tabelacomgrelha"/>
        <w:tblW w:w="0" w:type="auto"/>
        <w:tblInd w:w="284" w:type="dxa"/>
        <w:tblLook w:val="04A0" w:firstRow="1" w:lastRow="0" w:firstColumn="1" w:lastColumn="0" w:noHBand="0" w:noVBand="1"/>
      </w:tblPr>
      <w:tblGrid>
        <w:gridCol w:w="2780"/>
        <w:gridCol w:w="336"/>
        <w:gridCol w:w="622"/>
        <w:gridCol w:w="756"/>
        <w:gridCol w:w="756"/>
        <w:gridCol w:w="756"/>
        <w:gridCol w:w="763"/>
        <w:gridCol w:w="1594"/>
      </w:tblGrid>
      <w:tr w:rsidR="00E5507B" w:rsidRPr="00BB1191" w14:paraId="29DD7F97" w14:textId="78169151" w:rsidTr="00E5507B">
        <w:trPr>
          <w:trHeight w:val="291"/>
        </w:trPr>
        <w:tc>
          <w:tcPr>
            <w:tcW w:w="2780" w:type="dxa"/>
            <w:tcBorders>
              <w:left w:val="nil"/>
              <w:bottom w:val="single" w:sz="4" w:space="0" w:color="auto"/>
              <w:right w:val="nil"/>
            </w:tcBorders>
          </w:tcPr>
          <w:p w14:paraId="716878BE" w14:textId="7777777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b/>
                <w:shd w:val="clear" w:color="auto" w:fill="FFFFFF"/>
                <w:lang w:eastAsia="en-US"/>
              </w:rPr>
            </w:pPr>
            <w:r w:rsidRPr="00BB1191">
              <w:rPr>
                <w:rFonts w:eastAsiaTheme="minorHAnsi"/>
                <w:b/>
                <w:shd w:val="clear" w:color="auto" w:fill="FFFFFF"/>
                <w:lang w:eastAsia="en-US"/>
              </w:rPr>
              <w:t>Classes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ED05E9" w14:textId="7777777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</w:p>
        </w:tc>
        <w:tc>
          <w:tcPr>
            <w:tcW w:w="622" w:type="dxa"/>
            <w:tcBorders>
              <w:left w:val="nil"/>
              <w:bottom w:val="single" w:sz="4" w:space="0" w:color="auto"/>
              <w:right w:val="nil"/>
            </w:tcBorders>
          </w:tcPr>
          <w:p w14:paraId="5308A345" w14:textId="7777777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b/>
                <w:shd w:val="clear" w:color="auto" w:fill="FFFFFF"/>
                <w:lang w:eastAsia="en-US"/>
              </w:rPr>
            </w:pPr>
            <w:r w:rsidRPr="00BB1191">
              <w:rPr>
                <w:rFonts w:eastAsiaTheme="minorHAnsi"/>
                <w:b/>
                <w:shd w:val="clear" w:color="auto" w:fill="FFFFFF"/>
                <w:lang w:eastAsia="en-US"/>
              </w:rPr>
              <w:t>1</w:t>
            </w:r>
          </w:p>
        </w:tc>
        <w:tc>
          <w:tcPr>
            <w:tcW w:w="756" w:type="dxa"/>
            <w:tcBorders>
              <w:left w:val="nil"/>
              <w:bottom w:val="single" w:sz="4" w:space="0" w:color="auto"/>
              <w:right w:val="nil"/>
            </w:tcBorders>
          </w:tcPr>
          <w:p w14:paraId="0D6C6FED" w14:textId="7777777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b/>
                <w:shd w:val="clear" w:color="auto" w:fill="FFFFFF"/>
                <w:lang w:eastAsia="en-US"/>
              </w:rPr>
            </w:pPr>
            <w:r w:rsidRPr="00BB1191">
              <w:rPr>
                <w:rFonts w:eastAsiaTheme="minorHAnsi"/>
                <w:b/>
                <w:shd w:val="clear" w:color="auto" w:fill="FFFFFF"/>
                <w:lang w:eastAsia="en-US"/>
              </w:rPr>
              <w:t>2</w:t>
            </w:r>
          </w:p>
        </w:tc>
        <w:tc>
          <w:tcPr>
            <w:tcW w:w="756" w:type="dxa"/>
            <w:tcBorders>
              <w:left w:val="nil"/>
              <w:bottom w:val="single" w:sz="4" w:space="0" w:color="auto"/>
              <w:right w:val="nil"/>
            </w:tcBorders>
          </w:tcPr>
          <w:p w14:paraId="140E931E" w14:textId="77777777" w:rsidR="00E5507B" w:rsidRPr="00BB1191" w:rsidRDefault="00E5507B" w:rsidP="00B34297">
            <w:pPr>
              <w:pStyle w:val="NormalWeb"/>
              <w:tabs>
                <w:tab w:val="center" w:pos="175"/>
              </w:tabs>
              <w:jc w:val="center"/>
              <w:rPr>
                <w:rFonts w:eastAsiaTheme="minorHAnsi"/>
                <w:b/>
                <w:shd w:val="clear" w:color="auto" w:fill="FFFFFF"/>
                <w:lang w:eastAsia="en-US"/>
              </w:rPr>
            </w:pPr>
            <w:r w:rsidRPr="00BB1191">
              <w:rPr>
                <w:rFonts w:eastAsiaTheme="minorHAnsi"/>
                <w:b/>
                <w:shd w:val="clear" w:color="auto" w:fill="FFFFFF"/>
                <w:lang w:eastAsia="en-US"/>
              </w:rPr>
              <w:t>3</w:t>
            </w:r>
          </w:p>
        </w:tc>
        <w:tc>
          <w:tcPr>
            <w:tcW w:w="756" w:type="dxa"/>
            <w:tcBorders>
              <w:left w:val="nil"/>
              <w:bottom w:val="single" w:sz="4" w:space="0" w:color="auto"/>
              <w:right w:val="nil"/>
            </w:tcBorders>
          </w:tcPr>
          <w:p w14:paraId="0E2EAC56" w14:textId="7777777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b/>
                <w:shd w:val="clear" w:color="auto" w:fill="FFFFFF"/>
                <w:lang w:eastAsia="en-US"/>
              </w:rPr>
            </w:pPr>
            <w:r w:rsidRPr="00BB1191">
              <w:rPr>
                <w:rFonts w:eastAsiaTheme="minorHAnsi"/>
                <w:b/>
                <w:shd w:val="clear" w:color="auto" w:fill="FFFFFF"/>
                <w:lang w:eastAsia="en-US"/>
              </w:rPr>
              <w:t>4</w:t>
            </w:r>
          </w:p>
        </w:tc>
        <w:tc>
          <w:tcPr>
            <w:tcW w:w="763" w:type="dxa"/>
            <w:tcBorders>
              <w:left w:val="nil"/>
              <w:bottom w:val="single" w:sz="4" w:space="0" w:color="auto"/>
              <w:right w:val="nil"/>
            </w:tcBorders>
          </w:tcPr>
          <w:p w14:paraId="2F9608D4" w14:textId="7777777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b/>
                <w:shd w:val="clear" w:color="auto" w:fill="FFFFFF"/>
                <w:lang w:eastAsia="en-US"/>
              </w:rPr>
            </w:pPr>
            <w:r w:rsidRPr="00BB1191">
              <w:rPr>
                <w:rFonts w:eastAsiaTheme="minorHAnsi"/>
                <w:b/>
                <w:shd w:val="clear" w:color="auto" w:fill="FFFFFF"/>
                <w:lang w:eastAsia="en-US"/>
              </w:rPr>
              <w:t>Total</w:t>
            </w: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nil"/>
            </w:tcBorders>
          </w:tcPr>
          <w:p w14:paraId="309B7DAB" w14:textId="548EEBE6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b/>
                <w:shd w:val="clear" w:color="auto" w:fill="FFFFFF"/>
                <w:lang w:eastAsia="en-US"/>
              </w:rPr>
            </w:pPr>
            <w:r>
              <w:rPr>
                <w:rFonts w:eastAsiaTheme="minorHAnsi"/>
                <w:b/>
                <w:shd w:val="clear" w:color="auto" w:fill="FFFFFF"/>
                <w:lang w:eastAsia="en-US"/>
              </w:rPr>
              <w:t>Acurácia do Produtor %</w:t>
            </w:r>
          </w:p>
        </w:tc>
      </w:tr>
      <w:tr w:rsidR="00E5507B" w:rsidRPr="00BB1191" w14:paraId="581549C4" w14:textId="4F8E2A33" w:rsidTr="00E5507B">
        <w:trPr>
          <w:trHeight w:val="281"/>
        </w:trPr>
        <w:tc>
          <w:tcPr>
            <w:tcW w:w="2780" w:type="dxa"/>
            <w:tcBorders>
              <w:left w:val="nil"/>
              <w:bottom w:val="nil"/>
              <w:right w:val="nil"/>
            </w:tcBorders>
          </w:tcPr>
          <w:p w14:paraId="31747DC7" w14:textId="7777777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b/>
                <w:shd w:val="clear" w:color="auto" w:fill="FFFFFF"/>
                <w:lang w:eastAsia="en-US"/>
              </w:rPr>
            </w:pPr>
            <w:r w:rsidRPr="00BB1191">
              <w:rPr>
                <w:rFonts w:eastAsiaTheme="minorHAnsi"/>
                <w:b/>
                <w:shd w:val="clear" w:color="auto" w:fill="FFFFFF"/>
                <w:lang w:eastAsia="en-US"/>
              </w:rPr>
              <w:t>Corpo d’água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09FE6D" w14:textId="7777777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BB1191">
              <w:rPr>
                <w:rFonts w:eastAsiaTheme="minorHAnsi"/>
                <w:shd w:val="clear" w:color="auto" w:fill="FFFFFF"/>
                <w:lang w:eastAsia="en-US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63729235" w14:textId="7777777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highlight w:val="lightGray"/>
                <w:shd w:val="clear" w:color="auto" w:fill="FFFFFF"/>
                <w:lang w:eastAsia="en-US"/>
              </w:rPr>
            </w:pPr>
            <w:r w:rsidRPr="00BB1191">
              <w:rPr>
                <w:rFonts w:eastAsiaTheme="minorHAnsi"/>
                <w:highlight w:val="lightGray"/>
                <w:shd w:val="clear" w:color="auto" w:fill="FFFFFF"/>
                <w:lang w:eastAsia="en-US"/>
              </w:rPr>
              <w:t>19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5FE9B3" w14:textId="7777777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9547D4" w14:textId="7777777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BB1191">
              <w:rPr>
                <w:rFonts w:eastAsiaTheme="minorHAnsi"/>
                <w:shd w:val="clear" w:color="auto" w:fill="FFFFFF"/>
                <w:lang w:eastAsia="en-US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F154A7" w14:textId="7777777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494CD5" w14:textId="7777777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BB1191">
              <w:rPr>
                <w:rFonts w:eastAsiaTheme="minorHAnsi"/>
                <w:shd w:val="clear" w:color="auto" w:fill="FFFFFF"/>
                <w:lang w:eastAsia="en-US"/>
              </w:rPr>
              <w:t>20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37C0C3" w14:textId="0FADA64A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95</w:t>
            </w:r>
          </w:p>
        </w:tc>
      </w:tr>
      <w:tr w:rsidR="00E5507B" w:rsidRPr="00BB1191" w14:paraId="2EFFD254" w14:textId="3D54CE28" w:rsidTr="00E5507B">
        <w:trPr>
          <w:trHeight w:val="291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14:paraId="43BBBB7F" w14:textId="7777777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b/>
                <w:shd w:val="clear" w:color="auto" w:fill="FFFFFF"/>
                <w:lang w:eastAsia="en-US"/>
              </w:rPr>
            </w:pPr>
            <w:r w:rsidRPr="00BB1191">
              <w:rPr>
                <w:rFonts w:eastAsiaTheme="minorHAnsi"/>
                <w:b/>
                <w:shd w:val="clear" w:color="auto" w:fill="FFFFFF"/>
                <w:lang w:eastAsia="en-US"/>
              </w:rPr>
              <w:t>Mangue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1414C211" w14:textId="7777777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BB1191">
              <w:rPr>
                <w:rFonts w:eastAsiaTheme="minorHAnsi"/>
                <w:shd w:val="clear" w:color="auto" w:fill="FFFFFF"/>
                <w:lang w:eastAsia="en-US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7B65D23A" w14:textId="7777777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CEC4DA"/>
          </w:tcPr>
          <w:p w14:paraId="0C3EE2ED" w14:textId="7777777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BB1191">
              <w:rPr>
                <w:rFonts w:eastAsiaTheme="minorHAnsi"/>
                <w:highlight w:val="lightGray"/>
                <w:shd w:val="clear" w:color="auto" w:fill="FFFFFF"/>
                <w:lang w:eastAsia="en-US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3944848" w14:textId="7777777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AA5D61C" w14:textId="7777777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BB1191">
              <w:rPr>
                <w:rFonts w:eastAsiaTheme="minorHAnsi"/>
                <w:shd w:val="clear" w:color="auto" w:fill="FFFFFF"/>
                <w:lang w:eastAsia="en-US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5713D5D9" w14:textId="7777777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BB1191">
              <w:rPr>
                <w:rFonts w:eastAsiaTheme="minorHAnsi"/>
                <w:shd w:val="clear" w:color="auto" w:fill="FFFFFF"/>
                <w:lang w:eastAsia="en-US"/>
              </w:rPr>
              <w:t>20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14:paraId="2C47E762" w14:textId="5658A1D6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85</w:t>
            </w:r>
          </w:p>
        </w:tc>
      </w:tr>
      <w:tr w:rsidR="00E5507B" w:rsidRPr="00BB1191" w14:paraId="6FC2F341" w14:textId="34221380" w:rsidTr="00E5507B">
        <w:trPr>
          <w:trHeight w:val="281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14:paraId="2734BAF5" w14:textId="7777777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b/>
                <w:shd w:val="clear" w:color="auto" w:fill="FFFFFF"/>
                <w:lang w:eastAsia="en-US"/>
              </w:rPr>
            </w:pPr>
            <w:r w:rsidRPr="00BB1191">
              <w:rPr>
                <w:rFonts w:eastAsiaTheme="minorHAnsi"/>
                <w:b/>
                <w:shd w:val="clear" w:color="auto" w:fill="FFFFFF"/>
                <w:lang w:eastAsia="en-US"/>
              </w:rPr>
              <w:t>Solo exposto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CF505B3" w14:textId="7777777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BB1191">
              <w:rPr>
                <w:rFonts w:eastAsiaTheme="minorHAnsi"/>
                <w:shd w:val="clear" w:color="auto" w:fill="FFFFFF"/>
                <w:lang w:eastAsia="en-US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4EE85C73" w14:textId="7777777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32F7900" w14:textId="7777777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0F41CAF2" w14:textId="7777777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BB1191">
              <w:rPr>
                <w:rFonts w:eastAsiaTheme="minorHAnsi"/>
                <w:highlight w:val="lightGray"/>
                <w:shd w:val="clear" w:color="auto" w:fill="FFFFFF"/>
                <w:lang w:eastAsia="en-US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A136680" w14:textId="7777777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05502C5F" w14:textId="7777777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BB1191">
              <w:rPr>
                <w:rFonts w:eastAsiaTheme="minorHAnsi"/>
                <w:shd w:val="clear" w:color="auto" w:fill="FFFFFF"/>
                <w:lang w:eastAsia="en-US"/>
              </w:rPr>
              <w:t>20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14:paraId="3C0F74C2" w14:textId="54B64DBE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100</w:t>
            </w:r>
          </w:p>
        </w:tc>
      </w:tr>
      <w:tr w:rsidR="00E5507B" w:rsidRPr="00BB1191" w14:paraId="048E332E" w14:textId="7B78257B" w:rsidTr="00E5507B">
        <w:trPr>
          <w:trHeight w:val="291"/>
        </w:trPr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FAEE0A" w14:textId="7777777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b/>
                <w:shd w:val="clear" w:color="auto" w:fill="FFFFFF"/>
                <w:lang w:eastAsia="en-US"/>
              </w:rPr>
            </w:pPr>
            <w:r w:rsidRPr="00BB1191">
              <w:rPr>
                <w:rFonts w:eastAsiaTheme="minorHAnsi"/>
                <w:b/>
                <w:shd w:val="clear" w:color="auto" w:fill="FFFFFF"/>
                <w:lang w:eastAsia="en-US"/>
              </w:rPr>
              <w:t>Floresta de Terra Firme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8ABEFD" w14:textId="7777777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BB1191">
              <w:rPr>
                <w:rFonts w:eastAsiaTheme="minorHAnsi"/>
                <w:shd w:val="clear" w:color="auto" w:fill="FFFFFF"/>
                <w:lang w:eastAsia="en-US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DC314" w14:textId="7777777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1C7EE" w14:textId="77777777" w:rsidR="00E5507B" w:rsidRPr="00BB1191" w:rsidRDefault="00E5507B" w:rsidP="00B34297">
            <w:pPr>
              <w:pStyle w:val="NormalWeb"/>
              <w:tabs>
                <w:tab w:val="center" w:pos="235"/>
              </w:tabs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BB1191">
              <w:rPr>
                <w:rFonts w:eastAsiaTheme="minorHAnsi"/>
                <w:shd w:val="clear" w:color="auto" w:fill="FFFFFF"/>
                <w:lang w:eastAsia="en-US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1FE46F" w14:textId="7777777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BB1191">
              <w:rPr>
                <w:rFonts w:eastAsiaTheme="minorHAnsi"/>
                <w:shd w:val="clear" w:color="auto" w:fill="FFFFFF"/>
                <w:lang w:eastAsia="en-US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558B2A40" w14:textId="7777777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BB1191">
              <w:rPr>
                <w:rFonts w:eastAsiaTheme="minorHAnsi"/>
                <w:highlight w:val="lightGray"/>
                <w:shd w:val="clear" w:color="auto" w:fill="FFFFFF"/>
                <w:lang w:eastAsia="en-US"/>
              </w:rPr>
              <w:t>13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E0AE5E" w14:textId="7777777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highlight w:val="lightGray"/>
                <w:shd w:val="clear" w:color="auto" w:fill="FFFFFF"/>
                <w:lang w:eastAsia="en-US"/>
              </w:rPr>
            </w:pPr>
            <w:r w:rsidRPr="00BB1191">
              <w:rPr>
                <w:rFonts w:eastAsiaTheme="minorHAnsi"/>
                <w:shd w:val="clear" w:color="auto" w:fill="FFFFFF"/>
                <w:lang w:eastAsia="en-US"/>
              </w:rPr>
              <w:t>20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E7F0AA" w14:textId="2797A603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65</w:t>
            </w:r>
          </w:p>
        </w:tc>
      </w:tr>
      <w:tr w:rsidR="00E5507B" w:rsidRPr="00BB1191" w14:paraId="37DBDDA8" w14:textId="77777777" w:rsidTr="00E5507B">
        <w:trPr>
          <w:trHeight w:val="291"/>
        </w:trPr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B27730" w14:textId="500FAA6D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b/>
                <w:shd w:val="clear" w:color="auto" w:fill="FFFFFF"/>
                <w:lang w:eastAsia="en-US"/>
              </w:rPr>
            </w:pPr>
            <w:r>
              <w:rPr>
                <w:rFonts w:eastAsiaTheme="minorHAnsi"/>
                <w:b/>
                <w:shd w:val="clear" w:color="auto" w:fill="FFFFFF"/>
                <w:lang w:eastAsia="en-US"/>
              </w:rPr>
              <w:t>Total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93514B" w14:textId="7777777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27075" w14:textId="0DADF9C9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0F38C" w14:textId="489B5814" w:rsidR="00E5507B" w:rsidRPr="00BB1191" w:rsidRDefault="00E5507B" w:rsidP="00B34297">
            <w:pPr>
              <w:pStyle w:val="NormalWeb"/>
              <w:tabs>
                <w:tab w:val="center" w:pos="235"/>
              </w:tabs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4C20CA" w14:textId="23F02ADF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92EAE7" w14:textId="31B07885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highlight w:val="lightGray"/>
                <w:shd w:val="clear" w:color="auto" w:fill="FFFFFF"/>
                <w:lang w:eastAsia="en-US"/>
              </w:rPr>
            </w:pPr>
            <w:r w:rsidRPr="00E5507B">
              <w:rPr>
                <w:rFonts w:eastAsiaTheme="minorHAnsi"/>
                <w:shd w:val="clear" w:color="auto" w:fill="FFFFFF"/>
                <w:lang w:eastAsia="en-US"/>
              </w:rPr>
              <w:t>16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4A9421" w14:textId="274A9649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80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1ABB3" w14:textId="7777777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</w:p>
        </w:tc>
      </w:tr>
      <w:tr w:rsidR="00E5507B" w:rsidRPr="00BB1191" w14:paraId="18B526D5" w14:textId="77777777" w:rsidTr="00CB7CEE">
        <w:trPr>
          <w:trHeight w:val="291"/>
        </w:trPr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73025" w14:textId="621296CE" w:rsidR="00E5507B" w:rsidRDefault="00E5507B" w:rsidP="00B34297">
            <w:pPr>
              <w:pStyle w:val="NormalWeb"/>
              <w:jc w:val="center"/>
              <w:rPr>
                <w:rFonts w:eastAsiaTheme="minorHAnsi"/>
                <w:b/>
                <w:shd w:val="clear" w:color="auto" w:fill="FFFFFF"/>
                <w:lang w:eastAsia="en-US"/>
              </w:rPr>
            </w:pPr>
            <w:r>
              <w:rPr>
                <w:rFonts w:eastAsiaTheme="minorHAnsi"/>
                <w:b/>
                <w:shd w:val="clear" w:color="auto" w:fill="FFFFFF"/>
                <w:lang w:eastAsia="en-US"/>
              </w:rPr>
              <w:t>Acurácia do Usuário %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ECA57" w14:textId="7777777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454FB5" w14:textId="64984890" w:rsidR="00E5507B" w:rsidRDefault="00E5507B" w:rsidP="00B34297">
            <w:pPr>
              <w:pStyle w:val="NormalWeb"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FC65E" w14:textId="182FDF25" w:rsidR="00E5507B" w:rsidRDefault="00E5507B" w:rsidP="00B34297">
            <w:pPr>
              <w:pStyle w:val="NormalWeb"/>
              <w:tabs>
                <w:tab w:val="center" w:pos="235"/>
              </w:tabs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94.44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9E867" w14:textId="0ABC8D96" w:rsidR="00E5507B" w:rsidRDefault="00E5507B" w:rsidP="00B34297">
            <w:pPr>
              <w:pStyle w:val="NormalWeb"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74.07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9592C1" w14:textId="4D928499" w:rsidR="00E5507B" w:rsidRDefault="00E5507B" w:rsidP="00B34297">
            <w:pPr>
              <w:pStyle w:val="NormalWeb"/>
              <w:jc w:val="center"/>
              <w:rPr>
                <w:rFonts w:eastAsiaTheme="minorHAnsi"/>
                <w:highlight w:val="lightGray"/>
                <w:shd w:val="clear" w:color="auto" w:fill="FFFFFF"/>
                <w:lang w:eastAsia="en-US"/>
              </w:rPr>
            </w:pPr>
            <w:r w:rsidRPr="00E5507B">
              <w:rPr>
                <w:rFonts w:eastAsiaTheme="minorHAnsi"/>
                <w:shd w:val="clear" w:color="auto" w:fill="FFFFFF"/>
                <w:lang w:eastAsia="en-US"/>
              </w:rPr>
              <w:t>81.25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3F9982" w14:textId="7777777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</w:p>
        </w:tc>
      </w:tr>
      <w:tr w:rsidR="00E5507B" w:rsidRPr="00BB1191" w14:paraId="0E5E2E32" w14:textId="5DC22E29" w:rsidTr="007D731B">
        <w:trPr>
          <w:trHeight w:val="291"/>
        </w:trPr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E15D2" w14:textId="7777777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b/>
                <w:shd w:val="clear" w:color="auto" w:fill="FFFFFF"/>
                <w:lang w:eastAsia="en-US"/>
              </w:rPr>
            </w:pPr>
            <w:r w:rsidRPr="00BB1191">
              <w:rPr>
                <w:rFonts w:eastAsiaTheme="minorHAnsi"/>
                <w:b/>
                <w:shd w:val="clear" w:color="auto" w:fill="FFFFFF"/>
                <w:lang w:eastAsia="en-US"/>
              </w:rPr>
              <w:t>Índice Kappa</w:t>
            </w:r>
          </w:p>
        </w:tc>
        <w:tc>
          <w:tcPr>
            <w:tcW w:w="558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C45537" w14:textId="20553A1E" w:rsidR="00E5507B" w:rsidRPr="00BB1191" w:rsidRDefault="00E5507B" w:rsidP="00E5507B">
            <w:pPr>
              <w:pStyle w:val="NormalWeb"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BB1191">
              <w:rPr>
                <w:rFonts w:eastAsiaTheme="minorHAnsi"/>
                <w:shd w:val="clear" w:color="auto" w:fill="FFFFFF"/>
                <w:lang w:eastAsia="en-US"/>
              </w:rPr>
              <w:t>0,817</w:t>
            </w:r>
          </w:p>
        </w:tc>
      </w:tr>
      <w:tr w:rsidR="00E5507B" w:rsidRPr="00BB1191" w14:paraId="53511CF4" w14:textId="11799C14" w:rsidTr="005366BE">
        <w:trPr>
          <w:trHeight w:val="281"/>
        </w:trPr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EEBC3" w14:textId="7777777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b/>
                <w:shd w:val="clear" w:color="auto" w:fill="FFFFFF"/>
                <w:lang w:eastAsia="en-US"/>
              </w:rPr>
            </w:pPr>
            <w:r w:rsidRPr="00BB1191">
              <w:rPr>
                <w:rFonts w:eastAsiaTheme="minorHAnsi"/>
                <w:b/>
                <w:shd w:val="clear" w:color="auto" w:fill="FFFFFF"/>
                <w:lang w:eastAsia="en-US"/>
              </w:rPr>
              <w:t>Acurácia Geral</w:t>
            </w:r>
          </w:p>
        </w:tc>
        <w:tc>
          <w:tcPr>
            <w:tcW w:w="55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AA9707" w14:textId="5B207417" w:rsidR="00E5507B" w:rsidRPr="00BB1191" w:rsidRDefault="00E5507B" w:rsidP="00B34297">
            <w:pPr>
              <w:pStyle w:val="NormalWeb"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BB1191">
              <w:rPr>
                <w:rFonts w:eastAsiaTheme="minorHAnsi"/>
                <w:shd w:val="clear" w:color="auto" w:fill="FFFFFF"/>
                <w:lang w:eastAsia="en-US"/>
              </w:rPr>
              <w:t>86,25%</w:t>
            </w:r>
          </w:p>
        </w:tc>
      </w:tr>
    </w:tbl>
    <w:p w14:paraId="69D0ACE2" w14:textId="77777777" w:rsidR="00C3571B" w:rsidRPr="00BB1191" w:rsidRDefault="00C3571B" w:rsidP="00C3571B">
      <w:pPr>
        <w:pStyle w:val="NormalWeb"/>
        <w:jc w:val="both"/>
        <w:rPr>
          <w:rFonts w:eastAsiaTheme="minorHAnsi"/>
          <w:sz w:val="22"/>
          <w:shd w:val="clear" w:color="auto" w:fill="FFFFFF"/>
          <w:lang w:eastAsia="en-US"/>
        </w:rPr>
      </w:pPr>
      <w:r w:rsidRPr="00BB1191">
        <w:rPr>
          <w:rFonts w:eastAsiaTheme="minorHAnsi"/>
          <w:sz w:val="22"/>
          <w:shd w:val="clear" w:color="auto" w:fill="FFFFFF"/>
          <w:lang w:eastAsia="en-US"/>
        </w:rPr>
        <w:t xml:space="preserve">Fonte: Autoras </w:t>
      </w:r>
      <w:r>
        <w:rPr>
          <w:rFonts w:eastAsiaTheme="minorHAnsi"/>
          <w:sz w:val="22"/>
          <w:shd w:val="clear" w:color="auto" w:fill="FFFFFF"/>
          <w:lang w:eastAsia="en-US"/>
        </w:rPr>
        <w:t>(2025).</w:t>
      </w:r>
    </w:p>
    <w:p w14:paraId="4801CDFB" w14:textId="77777777" w:rsidR="002D15A4" w:rsidRPr="002D15A4" w:rsidRDefault="002D15A4" w:rsidP="002D15A4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2D15A4">
        <w:rPr>
          <w:rFonts w:ascii="Times New Roman" w:hAnsi="Times New Roman" w:cs="Times New Roman"/>
          <w:sz w:val="24"/>
          <w:szCs w:val="24"/>
          <w:lang w:eastAsia="pt-BR"/>
        </w:rPr>
        <w:t xml:space="preserve">De modo geral, a </w:t>
      </w:r>
      <w:r w:rsidRPr="002D15A4">
        <w:rPr>
          <w:rFonts w:ascii="Times New Roman" w:hAnsi="Times New Roman" w:cs="Times New Roman"/>
          <w:bCs/>
          <w:sz w:val="24"/>
          <w:szCs w:val="24"/>
          <w:lang w:eastAsia="pt-BR"/>
        </w:rPr>
        <w:t>distribuição espacial das classes</w:t>
      </w:r>
      <w:r w:rsidRPr="002D15A4">
        <w:rPr>
          <w:rFonts w:ascii="Times New Roman" w:hAnsi="Times New Roman" w:cs="Times New Roman"/>
          <w:sz w:val="24"/>
          <w:szCs w:val="24"/>
          <w:lang w:eastAsia="pt-BR"/>
        </w:rPr>
        <w:t xml:space="preserve"> evidencia a influência combinada de fatores naturais e antrópicos na configuração da paisagem. As áreas de floresta concentram-se nas porções mais elevadas e preservadas, enquanto o solo exposto e os mangues ocupam as áreas mais suscetíveis às atividades humanas e à dinâmica costeira. Essa relação revela a </w:t>
      </w:r>
      <w:r w:rsidRPr="002D15A4">
        <w:rPr>
          <w:rFonts w:ascii="Times New Roman" w:hAnsi="Times New Roman" w:cs="Times New Roman"/>
          <w:sz w:val="24"/>
          <w:szCs w:val="24"/>
          <w:lang w:eastAsia="pt-BR"/>
        </w:rPr>
        <w:lastRenderedPageBreak/>
        <w:t>necessidade de políticas voltadas à conservação e ao uso sustentável da bacia, assegurando o equilíbrio entre o desenvolvimento regional e a proteção ambiental.</w:t>
      </w:r>
    </w:p>
    <w:p w14:paraId="0847EC81" w14:textId="77777777" w:rsidR="00466F89" w:rsidRPr="00BB1191" w:rsidRDefault="00466F89" w:rsidP="00466F89">
      <w:pPr>
        <w:pStyle w:val="NormalWeb"/>
        <w:numPr>
          <w:ilvl w:val="0"/>
          <w:numId w:val="10"/>
        </w:numPr>
        <w:spacing w:line="360" w:lineRule="auto"/>
        <w:rPr>
          <w:rFonts w:eastAsiaTheme="minorHAnsi"/>
          <w:b/>
          <w:shd w:val="clear" w:color="auto" w:fill="FFFFFF"/>
          <w:lang w:eastAsia="en-US"/>
        </w:rPr>
      </w:pPr>
      <w:r w:rsidRPr="00BB1191">
        <w:rPr>
          <w:rFonts w:eastAsiaTheme="minorHAnsi"/>
          <w:b/>
          <w:shd w:val="clear" w:color="auto" w:fill="FFFFFF"/>
          <w:lang w:eastAsia="en-US"/>
        </w:rPr>
        <w:t>CONCLUSÃO</w:t>
      </w:r>
    </w:p>
    <w:p w14:paraId="6610FEB9" w14:textId="3D5AAE3B" w:rsidR="004610AA" w:rsidRPr="00BB1191" w:rsidRDefault="004C299D" w:rsidP="00F95D66">
      <w:pPr>
        <w:pStyle w:val="NormalWeb"/>
        <w:spacing w:line="360" w:lineRule="auto"/>
        <w:ind w:firstLine="360"/>
        <w:jc w:val="both"/>
      </w:pPr>
      <w:r w:rsidRPr="00BB1191">
        <w:t>O estudo demonstrou que a Bacia Hidrográfica do Rio Maracanã mantém grandes áreas de vegetação nativa, enquanto zonas de solo exposto indicam regiões impactadas por atividades humanas. A distribuição espacial das classes de uso do solo evidencia áreas prioritárias para conservação e regiões vulneráveis à degradação.</w:t>
      </w:r>
      <w:r w:rsidR="00C3571B">
        <w:t xml:space="preserve"> Assim, o</w:t>
      </w:r>
      <w:r w:rsidR="004610AA" w:rsidRPr="00BB1191">
        <w:t>s resultados obtidos oferecem subsídios para a tomada de decisão em planejamento territorial, permitindo priorizar ações de conservação, controlar impactos antrópicos e promover o uso sustentável dos recursos naturais, contribuindo para o equilíbrio entre desenvolvimento socioeconômico e preservação ambiental na região.</w:t>
      </w:r>
    </w:p>
    <w:p w14:paraId="3508E230" w14:textId="77777777" w:rsidR="004610AA" w:rsidRDefault="004610AA" w:rsidP="004610AA">
      <w:pPr>
        <w:pStyle w:val="NormalWeb"/>
        <w:spacing w:line="360" w:lineRule="auto"/>
        <w:ind w:firstLine="360"/>
        <w:jc w:val="both"/>
        <w:rPr>
          <w:rFonts w:eastAsiaTheme="minorHAnsi"/>
          <w:shd w:val="clear" w:color="auto" w:fill="FFFFFF"/>
          <w:lang w:eastAsia="en-US"/>
        </w:rPr>
      </w:pPr>
    </w:p>
    <w:p w14:paraId="30DA2341" w14:textId="77777777" w:rsidR="005F41B9" w:rsidRDefault="005F41B9" w:rsidP="004610AA">
      <w:pPr>
        <w:pStyle w:val="NormalWeb"/>
        <w:spacing w:line="360" w:lineRule="auto"/>
        <w:ind w:firstLine="360"/>
        <w:jc w:val="both"/>
        <w:rPr>
          <w:rFonts w:eastAsiaTheme="minorHAnsi"/>
          <w:shd w:val="clear" w:color="auto" w:fill="FFFFFF"/>
          <w:lang w:eastAsia="en-US"/>
        </w:rPr>
      </w:pPr>
    </w:p>
    <w:p w14:paraId="3B8749F5" w14:textId="05923E07" w:rsidR="005F41B9" w:rsidRDefault="005F41B9" w:rsidP="00D9749D">
      <w:pPr>
        <w:pStyle w:val="NormalWeb"/>
        <w:spacing w:line="360" w:lineRule="auto"/>
        <w:jc w:val="both"/>
        <w:rPr>
          <w:rFonts w:eastAsiaTheme="minorHAnsi"/>
          <w:shd w:val="clear" w:color="auto" w:fill="FFFFFF"/>
          <w:lang w:eastAsia="en-US"/>
        </w:rPr>
      </w:pPr>
    </w:p>
    <w:p w14:paraId="566258E6" w14:textId="15F95EE7" w:rsidR="00D9749D" w:rsidRDefault="00D9749D" w:rsidP="00D9749D">
      <w:pPr>
        <w:pStyle w:val="NormalWeb"/>
        <w:spacing w:line="360" w:lineRule="auto"/>
        <w:jc w:val="both"/>
        <w:rPr>
          <w:rFonts w:eastAsiaTheme="minorHAnsi"/>
          <w:shd w:val="clear" w:color="auto" w:fill="FFFFFF"/>
          <w:lang w:eastAsia="en-US"/>
        </w:rPr>
      </w:pPr>
    </w:p>
    <w:p w14:paraId="1ABA7440" w14:textId="7E0A74CB" w:rsidR="00D9749D" w:rsidRDefault="00D9749D" w:rsidP="00D9749D">
      <w:pPr>
        <w:pStyle w:val="NormalWeb"/>
        <w:spacing w:line="360" w:lineRule="auto"/>
        <w:jc w:val="both"/>
        <w:rPr>
          <w:rFonts w:eastAsiaTheme="minorHAnsi"/>
          <w:shd w:val="clear" w:color="auto" w:fill="FFFFFF"/>
          <w:lang w:eastAsia="en-US"/>
        </w:rPr>
      </w:pPr>
    </w:p>
    <w:p w14:paraId="722F7CC4" w14:textId="22D25022" w:rsidR="00D9749D" w:rsidRDefault="00D9749D" w:rsidP="00D9749D">
      <w:pPr>
        <w:pStyle w:val="NormalWeb"/>
        <w:spacing w:line="360" w:lineRule="auto"/>
        <w:jc w:val="both"/>
        <w:rPr>
          <w:rFonts w:eastAsiaTheme="minorHAnsi"/>
          <w:shd w:val="clear" w:color="auto" w:fill="FFFFFF"/>
          <w:lang w:eastAsia="en-US"/>
        </w:rPr>
      </w:pPr>
    </w:p>
    <w:p w14:paraId="7958F599" w14:textId="64D2F933" w:rsidR="00D9749D" w:rsidRDefault="00D9749D" w:rsidP="00D9749D">
      <w:pPr>
        <w:pStyle w:val="NormalWeb"/>
        <w:spacing w:line="360" w:lineRule="auto"/>
        <w:jc w:val="both"/>
        <w:rPr>
          <w:rFonts w:eastAsiaTheme="minorHAnsi"/>
          <w:shd w:val="clear" w:color="auto" w:fill="FFFFFF"/>
          <w:lang w:eastAsia="en-US"/>
        </w:rPr>
      </w:pPr>
    </w:p>
    <w:p w14:paraId="0CAEF4DE" w14:textId="2EF4AC3C" w:rsidR="00D9749D" w:rsidRDefault="00D9749D" w:rsidP="00D9749D">
      <w:pPr>
        <w:pStyle w:val="NormalWeb"/>
        <w:spacing w:line="360" w:lineRule="auto"/>
        <w:jc w:val="both"/>
        <w:rPr>
          <w:rFonts w:eastAsiaTheme="minorHAnsi"/>
          <w:shd w:val="clear" w:color="auto" w:fill="FFFFFF"/>
          <w:lang w:eastAsia="en-US"/>
        </w:rPr>
      </w:pPr>
    </w:p>
    <w:p w14:paraId="7B804D7D" w14:textId="77777777" w:rsidR="00D9749D" w:rsidRDefault="00D9749D" w:rsidP="00D9749D">
      <w:pPr>
        <w:pStyle w:val="NormalWeb"/>
        <w:spacing w:line="360" w:lineRule="auto"/>
        <w:jc w:val="both"/>
        <w:rPr>
          <w:rFonts w:eastAsiaTheme="minorHAnsi"/>
          <w:shd w:val="clear" w:color="auto" w:fill="FFFFFF"/>
          <w:lang w:eastAsia="en-US"/>
        </w:rPr>
      </w:pPr>
    </w:p>
    <w:p w14:paraId="502D1192" w14:textId="77777777" w:rsidR="005F41B9" w:rsidRPr="00BB1191" w:rsidRDefault="005F41B9" w:rsidP="004610AA">
      <w:pPr>
        <w:pStyle w:val="NormalWeb"/>
        <w:spacing w:line="360" w:lineRule="auto"/>
        <w:ind w:firstLine="360"/>
        <w:jc w:val="both"/>
        <w:rPr>
          <w:rFonts w:eastAsiaTheme="minorHAnsi"/>
          <w:shd w:val="clear" w:color="auto" w:fill="FFFFFF"/>
          <w:lang w:eastAsia="en-US"/>
        </w:rPr>
      </w:pPr>
    </w:p>
    <w:p w14:paraId="6C07F883" w14:textId="61A1F598" w:rsidR="00CC1404" w:rsidRDefault="00CC1404" w:rsidP="00466F89">
      <w:pPr>
        <w:pStyle w:val="NormalWeb"/>
        <w:spacing w:line="360" w:lineRule="auto"/>
        <w:jc w:val="both"/>
        <w:rPr>
          <w:rFonts w:eastAsiaTheme="minorHAnsi"/>
          <w:b/>
          <w:shd w:val="clear" w:color="auto" w:fill="FFFFFF"/>
          <w:lang w:eastAsia="en-US"/>
        </w:rPr>
      </w:pPr>
      <w:r w:rsidRPr="00BB1191">
        <w:rPr>
          <w:rFonts w:eastAsiaTheme="minorHAnsi"/>
          <w:b/>
          <w:shd w:val="clear" w:color="auto" w:fill="FFFFFF"/>
          <w:lang w:eastAsia="en-US"/>
        </w:rPr>
        <w:lastRenderedPageBreak/>
        <w:t>REFERÊNCIAS</w:t>
      </w:r>
    </w:p>
    <w:p w14:paraId="4A045C2D" w14:textId="77777777" w:rsidR="00EF2E6F" w:rsidRPr="00AB2372" w:rsidRDefault="00EF2E6F" w:rsidP="00EF2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23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COSTA, Fabíola Fernandes. </w:t>
      </w:r>
      <w:r w:rsidRPr="00AB237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Avaliação geoquímica de área selecionada da bacia hidrográfica do rio Maracanã (Nordeste do Pará)</w:t>
      </w:r>
      <w:r w:rsidRPr="00AB23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Orientador: Waterloo Napoleão Lima. 2004. 143 f. Dissertação (Mestrado em Geologia e Geoquímica) – Centro de Geociências, Universidade Federal do Pará, Belém, 2004. Disponível em: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&lt;</w:t>
      </w:r>
      <w:hyperlink r:id="rId13" w:history="1">
        <w:r w:rsidRPr="00AB23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http://repositorio.ufpa.br/jspui/handle/2011/11830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&gt;</w:t>
      </w:r>
      <w:r w:rsidRPr="00AB2372">
        <w:rPr>
          <w:rFonts w:ascii="Times New Roman" w:eastAsia="Times New Roman" w:hAnsi="Times New Roman" w:cs="Times New Roman"/>
          <w:sz w:val="24"/>
          <w:szCs w:val="24"/>
          <w:lang w:eastAsia="pt-BR"/>
        </w:rPr>
        <w:t>. Acesso em: 8 out. 2025.</w:t>
      </w:r>
    </w:p>
    <w:p w14:paraId="245103F7" w14:textId="77777777" w:rsidR="00EF2E6F" w:rsidRPr="00AB2372" w:rsidRDefault="00EF2E6F" w:rsidP="00EF2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2372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INSTITUTO BRASILEIRO DE GEOGRAFIA E ESTATÍSTICA (</w:t>
      </w:r>
      <w:r w:rsidRPr="0026656B">
        <w:rPr>
          <w:rStyle w:val="Cabealho1Carter"/>
        </w:rPr>
        <w:t>IBGE</w:t>
      </w:r>
      <w:r w:rsidRPr="00AB23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). </w:t>
      </w:r>
      <w:r w:rsidRPr="00AB237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Bacias e divisões hidrográficas do Brasil | 2021</w:t>
      </w:r>
      <w:r w:rsidRPr="00AB23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2021. Disponível em: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&lt;</w:t>
      </w:r>
      <w:hyperlink r:id="rId14" w:history="1">
        <w:r w:rsidRPr="00AB23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https://www.ibge.gov.br/geociencias/cartas-e-mapas/informacoes-ambientais/31653-bacias-e-divisoes-hidrograficas-do-brasil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&gt;</w:t>
      </w:r>
      <w:r w:rsidRPr="00AB2372">
        <w:rPr>
          <w:rFonts w:ascii="Times New Roman" w:eastAsia="Times New Roman" w:hAnsi="Times New Roman" w:cs="Times New Roman"/>
          <w:sz w:val="24"/>
          <w:szCs w:val="24"/>
          <w:lang w:eastAsia="pt-BR"/>
        </w:rPr>
        <w:t>. Acesso em: 28 out. 2025.</w:t>
      </w:r>
    </w:p>
    <w:p w14:paraId="5311D77F" w14:textId="77777777" w:rsidR="00EF2E6F" w:rsidRPr="00AB2372" w:rsidRDefault="00EF2E6F" w:rsidP="00EF2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23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MELO, D. O. S.; SANTANA SANTOS, L. de; BARBOSA, A. G.; MENDES, L. A. </w:t>
      </w:r>
      <w:r w:rsidRPr="00AB237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Caracterização morfométrica da bacia hidrográfica do rio Real pelo uso de dados SRTM e tecnologias SIG</w:t>
      </w:r>
      <w:r w:rsidRPr="00AB23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B237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Revista Brasileira de Geografia Física</w:t>
      </w:r>
      <w:r w:rsidRPr="00AB2372">
        <w:rPr>
          <w:rFonts w:ascii="Times New Roman" w:eastAsia="Times New Roman" w:hAnsi="Times New Roman" w:cs="Times New Roman"/>
          <w:sz w:val="24"/>
          <w:szCs w:val="24"/>
          <w:lang w:eastAsia="pt-BR"/>
        </w:rPr>
        <w:t>, v. 13, n. 7, p. 3553–3570, 2020.</w:t>
      </w:r>
    </w:p>
    <w:p w14:paraId="6E8508E3" w14:textId="77777777" w:rsidR="00EF2E6F" w:rsidRPr="00AB2372" w:rsidRDefault="00EF2E6F" w:rsidP="00EF2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23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PINAGÉ, Ekena Rangel; MATRICARDI, Eraldo Aparecido Trondoli. </w:t>
      </w:r>
      <w:r w:rsidRPr="00AB237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Detecção da infraestrutura para exploração florestal em Rondônia utilizando dados de sensoriamento remoto</w:t>
      </w:r>
      <w:r w:rsidRPr="00AB23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B237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Floresta e Ambiente</w:t>
      </w:r>
      <w:r w:rsidRPr="00AB23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v. 22, p. 377–390, 2015. Disponível em: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&lt;</w:t>
      </w:r>
      <w:hyperlink r:id="rId15" w:history="1">
        <w:r w:rsidRPr="00AB23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https://www.scielo.br/j/floram/a/LcqMZdzwxYQdVb5sB58cBBK/?lang=pt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&gt;</w:t>
      </w:r>
      <w:r w:rsidRPr="00AB2372">
        <w:rPr>
          <w:rFonts w:ascii="Times New Roman" w:eastAsia="Times New Roman" w:hAnsi="Times New Roman" w:cs="Times New Roman"/>
          <w:sz w:val="24"/>
          <w:szCs w:val="24"/>
          <w:lang w:eastAsia="pt-BR"/>
        </w:rPr>
        <w:t>. Acesso em: 18 out. 2025.</w:t>
      </w:r>
    </w:p>
    <w:p w14:paraId="00B2DFEF" w14:textId="77777777" w:rsidR="00EF2E6F" w:rsidRPr="00AB2372" w:rsidRDefault="00EF2E6F" w:rsidP="00EF2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23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PRINA, Bruno Zucuni; TRENTIN, Romário. </w:t>
      </w:r>
      <w:r w:rsidRPr="00AB237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GMC: geração de matriz de confusão a partir de uma classificação digital de imagem do ArcGIS®</w:t>
      </w:r>
      <w:r w:rsidRPr="00AB23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In: SIMPÓSIO BRASILEIRO DE SENSORIAMENTO REMOTO, 17., 2015, João Pessoa-PB. </w:t>
      </w:r>
      <w:r w:rsidRPr="00AB237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Anais...</w:t>
      </w:r>
      <w:r w:rsidRPr="00AB23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José dos Campos: INPE, 2015. p. 131–139. Disponível em: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&lt;</w:t>
      </w:r>
      <w:hyperlink r:id="rId16" w:history="1">
        <w:r w:rsidRPr="00AB23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http://www.dsr.inpe.br/sbsr2015/files/p0031.pdf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&gt;</w:t>
      </w:r>
      <w:r w:rsidRPr="00AB2372">
        <w:rPr>
          <w:rFonts w:ascii="Times New Roman" w:eastAsia="Times New Roman" w:hAnsi="Times New Roman" w:cs="Times New Roman"/>
          <w:sz w:val="24"/>
          <w:szCs w:val="24"/>
          <w:lang w:eastAsia="pt-BR"/>
        </w:rPr>
        <w:t>. Acesso em: 16 out. 2025.</w:t>
      </w:r>
    </w:p>
    <w:p w14:paraId="694583DA" w14:textId="77777777" w:rsidR="00EF2E6F" w:rsidRPr="00AB2372" w:rsidRDefault="00EF2E6F" w:rsidP="00EF2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23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RAIOL, L. L.; FERREIRA, M. T.; SANTOS, D. C. R.; HAYASHI, S. N. </w:t>
      </w:r>
      <w:r w:rsidRPr="00AB237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Caracterização morfométrica da bacia hidrográfica do rio Caripi, zona costeira amazônica</w:t>
      </w:r>
      <w:r w:rsidRPr="00AB23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B237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Revista Brasileira de Geografia Física</w:t>
      </w:r>
      <w:r w:rsidRPr="00AB23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v. 15, n. 5, p. 2354–2370, 2022. Disponível em: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&lt;</w:t>
      </w:r>
      <w:hyperlink r:id="rId17" w:history="1">
        <w:r w:rsidRPr="00AB23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https://doi.org/10.26848/rbgf.v15.5.p2354-2370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&gt;</w:t>
      </w:r>
      <w:r w:rsidRPr="00AB2372">
        <w:rPr>
          <w:rFonts w:ascii="Times New Roman" w:eastAsia="Times New Roman" w:hAnsi="Times New Roman" w:cs="Times New Roman"/>
          <w:sz w:val="24"/>
          <w:szCs w:val="24"/>
          <w:lang w:eastAsia="pt-BR"/>
        </w:rPr>
        <w:t>. Acesso em: 28 out. 2025.</w:t>
      </w:r>
    </w:p>
    <w:p w14:paraId="2AE02C99" w14:textId="77777777" w:rsidR="00EF2E6F" w:rsidRPr="00AB2372" w:rsidRDefault="00EF2E6F" w:rsidP="00EF2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23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RAIOL, Lucas Lima. </w:t>
      </w:r>
      <w:r w:rsidRPr="00AB237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Sustentabilidade hídrica como subsídio à gestão costeira da bacia hidrográfica do rio Maracanã, Amazônia Oriental</w:t>
      </w:r>
      <w:r w:rsidRPr="00AB23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2024. 103 f. Dissertação (Mestrado em Ciências Ambientais) – Programa de Pós-Graduação em Ciências Ambientais, Instituto de Geociências, Universidade Federal do Pará, Belém, 2024. Disponível em: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&lt;</w:t>
      </w:r>
      <w:hyperlink r:id="rId18" w:history="1">
        <w:r w:rsidRPr="00AB23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https://repositorio.ufpa.br/jspui/handle/2011/17040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&gt;</w:t>
      </w:r>
      <w:r w:rsidRPr="00AB2372">
        <w:rPr>
          <w:rFonts w:ascii="Times New Roman" w:eastAsia="Times New Roman" w:hAnsi="Times New Roman" w:cs="Times New Roman"/>
          <w:sz w:val="24"/>
          <w:szCs w:val="24"/>
          <w:lang w:eastAsia="pt-BR"/>
        </w:rPr>
        <w:t>. Acesso em: 29 out. 2025.</w:t>
      </w:r>
    </w:p>
    <w:p w14:paraId="751BA5D2" w14:textId="77777777" w:rsidR="00EF2E6F" w:rsidRPr="00AB2372" w:rsidRDefault="00EF2E6F" w:rsidP="00EF2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23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RAIOL, Lucas Lima; ROCHA, Yuri Antonio da Silva; MOREIRA, Matheus Cristiano Cordeiro; VELASTEGUI-MONTOYA, Andrés; LIMA, Aline Maria Meiguins de. </w:t>
      </w:r>
      <w:r w:rsidRPr="00AB237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Sistema hidrológico da bacia hidrográfica do rio Maracanã, Amazônia Oriental</w:t>
      </w:r>
      <w:r w:rsidRPr="00AB23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In: SIMPÓSIO DE ESTUDOS E PESQUISAS EM CIÊNCIAS AMBIENTAIS NA AMAZÔNIA, 12., 2023, </w:t>
      </w:r>
      <w:r w:rsidRPr="00AB237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Belém. </w:t>
      </w:r>
      <w:r w:rsidRPr="00AB237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Anais...</w:t>
      </w:r>
      <w:r w:rsidRPr="00AB23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Belém: UEPA, 2023. Disponível em: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&lt;</w:t>
      </w:r>
      <w:hyperlink r:id="rId19" w:history="1">
        <w:r w:rsidRPr="00AB23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https://www.researchgate.net/publication/380357682_SISTEMA_HIDROLOGICO_DA_BACIA_HIDROGRAFICA_DO_RIO_MARACANA_AMAZONIA_ORIENTAL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&gt;</w:t>
      </w:r>
      <w:r w:rsidRPr="00AB2372">
        <w:rPr>
          <w:rFonts w:ascii="Times New Roman" w:eastAsia="Times New Roman" w:hAnsi="Times New Roman" w:cs="Times New Roman"/>
          <w:sz w:val="24"/>
          <w:szCs w:val="24"/>
          <w:lang w:eastAsia="pt-BR"/>
        </w:rPr>
        <w:t>. Acesso em: 8 out. 2025.</w:t>
      </w:r>
    </w:p>
    <w:p w14:paraId="1D57BD42" w14:textId="5BAB8C7C" w:rsidR="00EF2E6F" w:rsidRPr="00EF2E6F" w:rsidRDefault="00EF2E6F" w:rsidP="00EF2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23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SANTOS, André Luiz Conceição; SANTOS, Fabiana dos. </w:t>
      </w:r>
      <w:r w:rsidRPr="00AB237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Mapeamento das classes de uso e cobertura do solo da bacia hidrográfica do rio Vaza-Barris, Sergipe</w:t>
      </w:r>
      <w:r w:rsidRPr="00AB23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B237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Revista Multidisciplinar da UNIESP: Saber Acadêmico</w:t>
      </w:r>
      <w:r w:rsidRPr="00AB23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São Paulo, v. 10, p. 57–67, 2010. Disponível em: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&lt;</w:t>
      </w:r>
      <w:hyperlink r:id="rId20" w:history="1">
        <w:r w:rsidRPr="00AB23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https://uniesp.edu.br/sites/_biblioteca/revistas/20180403121158.pdf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&gt;</w:t>
      </w:r>
      <w:r w:rsidRPr="00AB2372">
        <w:rPr>
          <w:rFonts w:ascii="Times New Roman" w:eastAsia="Times New Roman" w:hAnsi="Times New Roman" w:cs="Times New Roman"/>
          <w:sz w:val="24"/>
          <w:szCs w:val="24"/>
          <w:lang w:eastAsia="pt-BR"/>
        </w:rPr>
        <w:t>. Acesso em: 10 out. 2025.</w:t>
      </w:r>
    </w:p>
    <w:sectPr w:rsidR="00EF2E6F" w:rsidRPr="00EF2E6F" w:rsidSect="003C650E">
      <w:headerReference w:type="default" r:id="rId21"/>
      <w:footerReference w:type="default" r:id="rId22"/>
      <w:pgSz w:w="11910" w:h="16840"/>
      <w:pgMar w:top="1701" w:right="1134" w:bottom="1134" w:left="1701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0BB91B" w16cid:durableId="2CAB679D"/>
  <w16cid:commentId w16cid:paraId="68E7828D" w16cid:durableId="2CAB6A2E"/>
  <w16cid:commentId w16cid:paraId="0F0798E8" w16cid:durableId="2CAB6B30"/>
  <w16cid:commentId w16cid:paraId="4953A834" w16cid:durableId="2CAB6B9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D0418" w14:textId="77777777" w:rsidR="007D40F1" w:rsidRDefault="007D40F1">
      <w:pPr>
        <w:spacing w:after="0" w:line="240" w:lineRule="auto"/>
      </w:pPr>
      <w:r>
        <w:separator/>
      </w:r>
    </w:p>
  </w:endnote>
  <w:endnote w:type="continuationSeparator" w:id="0">
    <w:p w14:paraId="2BBCD4CF" w14:textId="77777777" w:rsidR="007D40F1" w:rsidRDefault="007D4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F3C64" w14:textId="77777777" w:rsidR="003F240F" w:rsidRDefault="003F240F">
    <w:pPr>
      <w:pStyle w:val="Rodap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3B63E4E1" wp14:editId="02506D60">
          <wp:simplePos x="0" y="0"/>
          <wp:positionH relativeFrom="margin">
            <wp:align>left</wp:align>
          </wp:positionH>
          <wp:positionV relativeFrom="page">
            <wp:posOffset>9994265</wp:posOffset>
          </wp:positionV>
          <wp:extent cx="600075" cy="191770"/>
          <wp:effectExtent l="0" t="0" r="0" b="0"/>
          <wp:wrapSquare wrapText="bothSides"/>
          <wp:docPr id="1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6280A2FC" wp14:editId="7BF996B4">
          <wp:simplePos x="0" y="0"/>
          <wp:positionH relativeFrom="column">
            <wp:posOffset>2644140</wp:posOffset>
          </wp:positionH>
          <wp:positionV relativeFrom="page">
            <wp:posOffset>9987915</wp:posOffset>
          </wp:positionV>
          <wp:extent cx="419100" cy="241935"/>
          <wp:effectExtent l="0" t="0" r="0" b="0"/>
          <wp:wrapSquare wrapText="bothSides"/>
          <wp:docPr id="1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31178395" wp14:editId="6E1FBF45">
          <wp:simplePos x="0" y="0"/>
          <wp:positionH relativeFrom="column">
            <wp:posOffset>850900</wp:posOffset>
          </wp:positionH>
          <wp:positionV relativeFrom="page">
            <wp:posOffset>10152380</wp:posOffset>
          </wp:positionV>
          <wp:extent cx="1231265" cy="384175"/>
          <wp:effectExtent l="0" t="0" r="6985" b="0"/>
          <wp:wrapSquare wrapText="bothSides"/>
          <wp:docPr id="17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52F9B998" wp14:editId="5151DC0D">
          <wp:simplePos x="0" y="0"/>
          <wp:positionH relativeFrom="column">
            <wp:posOffset>3139440</wp:posOffset>
          </wp:positionH>
          <wp:positionV relativeFrom="page">
            <wp:posOffset>10172700</wp:posOffset>
          </wp:positionV>
          <wp:extent cx="542290" cy="384175"/>
          <wp:effectExtent l="0" t="0" r="0" b="0"/>
          <wp:wrapSquare wrapText="bothSides"/>
          <wp:docPr id="18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4C73C4C6" wp14:editId="1050C8E8">
          <wp:simplePos x="0" y="0"/>
          <wp:positionH relativeFrom="column">
            <wp:posOffset>3910965</wp:posOffset>
          </wp:positionH>
          <wp:positionV relativeFrom="page">
            <wp:posOffset>10176510</wp:posOffset>
          </wp:positionV>
          <wp:extent cx="914400" cy="353695"/>
          <wp:effectExtent l="0" t="0" r="0" b="8255"/>
          <wp:wrapSquare wrapText="bothSides"/>
          <wp:docPr id="19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4384" behindDoc="0" locked="0" layoutInCell="1" allowOverlap="1" wp14:anchorId="0638321E" wp14:editId="34E76777">
          <wp:simplePos x="0" y="0"/>
          <wp:positionH relativeFrom="column">
            <wp:posOffset>5006340</wp:posOffset>
          </wp:positionH>
          <wp:positionV relativeFrom="page">
            <wp:posOffset>10182225</wp:posOffset>
          </wp:positionV>
          <wp:extent cx="756285" cy="335280"/>
          <wp:effectExtent l="0" t="0" r="5715" b="7620"/>
          <wp:wrapSquare wrapText="bothSides"/>
          <wp:docPr id="2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2E99F" w14:textId="77777777" w:rsidR="007D40F1" w:rsidRDefault="007D40F1">
      <w:pPr>
        <w:spacing w:after="0" w:line="240" w:lineRule="auto"/>
      </w:pPr>
      <w:r>
        <w:separator/>
      </w:r>
    </w:p>
  </w:footnote>
  <w:footnote w:type="continuationSeparator" w:id="0">
    <w:p w14:paraId="65AA311C" w14:textId="77777777" w:rsidR="007D40F1" w:rsidRDefault="007D4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7D978" w14:textId="77777777" w:rsidR="003F240F" w:rsidRPr="005A1575" w:rsidRDefault="003F240F" w:rsidP="005A586A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09B3A319" wp14:editId="4B84A968">
          <wp:extent cx="3253105" cy="1610360"/>
          <wp:effectExtent l="0" t="0" r="0" b="0"/>
          <wp:docPr id="1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1610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1E87"/>
    <w:multiLevelType w:val="hybridMultilevel"/>
    <w:tmpl w:val="927C36F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464DB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A76DF7"/>
    <w:multiLevelType w:val="hybridMultilevel"/>
    <w:tmpl w:val="60306660"/>
    <w:lvl w:ilvl="0" w:tplc="39527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06BD9"/>
    <w:multiLevelType w:val="hybridMultilevel"/>
    <w:tmpl w:val="7C4E18C2"/>
    <w:lvl w:ilvl="0" w:tplc="24AEAD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83F12"/>
    <w:multiLevelType w:val="hybridMultilevel"/>
    <w:tmpl w:val="C5E0B11A"/>
    <w:lvl w:ilvl="0" w:tplc="39527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F5A78"/>
    <w:multiLevelType w:val="hybridMultilevel"/>
    <w:tmpl w:val="D0001F7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06156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75C7981"/>
    <w:multiLevelType w:val="multilevel"/>
    <w:tmpl w:val="B672E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37DF22F8"/>
    <w:multiLevelType w:val="hybridMultilevel"/>
    <w:tmpl w:val="BD26ED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254CC"/>
    <w:multiLevelType w:val="hybridMultilevel"/>
    <w:tmpl w:val="B204D772"/>
    <w:lvl w:ilvl="0" w:tplc="04160017">
      <w:start w:val="1"/>
      <w:numFmt w:val="lowerLetter"/>
      <w:lvlText w:val="%1)"/>
      <w:lvlJc w:val="left"/>
      <w:pPr>
        <w:ind w:left="782" w:hanging="360"/>
      </w:pPr>
    </w:lvl>
    <w:lvl w:ilvl="1" w:tplc="04160019" w:tentative="1">
      <w:start w:val="1"/>
      <w:numFmt w:val="lowerLetter"/>
      <w:lvlText w:val="%2."/>
      <w:lvlJc w:val="left"/>
      <w:pPr>
        <w:ind w:left="1502" w:hanging="360"/>
      </w:pPr>
    </w:lvl>
    <w:lvl w:ilvl="2" w:tplc="0416001B" w:tentative="1">
      <w:start w:val="1"/>
      <w:numFmt w:val="lowerRoman"/>
      <w:lvlText w:val="%3."/>
      <w:lvlJc w:val="right"/>
      <w:pPr>
        <w:ind w:left="2222" w:hanging="180"/>
      </w:pPr>
    </w:lvl>
    <w:lvl w:ilvl="3" w:tplc="0416000F" w:tentative="1">
      <w:start w:val="1"/>
      <w:numFmt w:val="decimal"/>
      <w:lvlText w:val="%4."/>
      <w:lvlJc w:val="left"/>
      <w:pPr>
        <w:ind w:left="2942" w:hanging="360"/>
      </w:pPr>
    </w:lvl>
    <w:lvl w:ilvl="4" w:tplc="04160019" w:tentative="1">
      <w:start w:val="1"/>
      <w:numFmt w:val="lowerLetter"/>
      <w:lvlText w:val="%5."/>
      <w:lvlJc w:val="left"/>
      <w:pPr>
        <w:ind w:left="3662" w:hanging="360"/>
      </w:pPr>
    </w:lvl>
    <w:lvl w:ilvl="5" w:tplc="0416001B" w:tentative="1">
      <w:start w:val="1"/>
      <w:numFmt w:val="lowerRoman"/>
      <w:lvlText w:val="%6."/>
      <w:lvlJc w:val="right"/>
      <w:pPr>
        <w:ind w:left="4382" w:hanging="180"/>
      </w:pPr>
    </w:lvl>
    <w:lvl w:ilvl="6" w:tplc="0416000F" w:tentative="1">
      <w:start w:val="1"/>
      <w:numFmt w:val="decimal"/>
      <w:lvlText w:val="%7."/>
      <w:lvlJc w:val="left"/>
      <w:pPr>
        <w:ind w:left="5102" w:hanging="360"/>
      </w:pPr>
    </w:lvl>
    <w:lvl w:ilvl="7" w:tplc="04160019" w:tentative="1">
      <w:start w:val="1"/>
      <w:numFmt w:val="lowerLetter"/>
      <w:lvlText w:val="%8."/>
      <w:lvlJc w:val="left"/>
      <w:pPr>
        <w:ind w:left="5822" w:hanging="360"/>
      </w:pPr>
    </w:lvl>
    <w:lvl w:ilvl="8" w:tplc="0416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0" w15:restartNumberingAfterBreak="0">
    <w:nsid w:val="436E10B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8232783"/>
    <w:multiLevelType w:val="hybridMultilevel"/>
    <w:tmpl w:val="3C90D0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D7FF8"/>
    <w:multiLevelType w:val="hybridMultilevel"/>
    <w:tmpl w:val="4D529D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2"/>
  </w:num>
  <w:num w:numId="5">
    <w:abstractNumId w:val="11"/>
  </w:num>
  <w:num w:numId="6">
    <w:abstractNumId w:val="5"/>
  </w:num>
  <w:num w:numId="7">
    <w:abstractNumId w:val="7"/>
  </w:num>
  <w:num w:numId="8">
    <w:abstractNumId w:val="4"/>
  </w:num>
  <w:num w:numId="9">
    <w:abstractNumId w:val="1"/>
  </w:num>
  <w:num w:numId="10">
    <w:abstractNumId w:val="6"/>
  </w:num>
  <w:num w:numId="11">
    <w:abstractNumId w:val="8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547"/>
    <w:rsid w:val="000027E3"/>
    <w:rsid w:val="0002576B"/>
    <w:rsid w:val="000412AE"/>
    <w:rsid w:val="00045FE7"/>
    <w:rsid w:val="00051F92"/>
    <w:rsid w:val="00076DE4"/>
    <w:rsid w:val="000801BA"/>
    <w:rsid w:val="000B0862"/>
    <w:rsid w:val="000C01B8"/>
    <w:rsid w:val="00101836"/>
    <w:rsid w:val="00101F9A"/>
    <w:rsid w:val="001031BC"/>
    <w:rsid w:val="001071C9"/>
    <w:rsid w:val="00113804"/>
    <w:rsid w:val="00197B1B"/>
    <w:rsid w:val="001D7B7A"/>
    <w:rsid w:val="00207495"/>
    <w:rsid w:val="002128CF"/>
    <w:rsid w:val="00216E68"/>
    <w:rsid w:val="00234828"/>
    <w:rsid w:val="00240EBB"/>
    <w:rsid w:val="00255A23"/>
    <w:rsid w:val="00257296"/>
    <w:rsid w:val="0026656B"/>
    <w:rsid w:val="002877AB"/>
    <w:rsid w:val="00297727"/>
    <w:rsid w:val="002A2E0C"/>
    <w:rsid w:val="002D15A4"/>
    <w:rsid w:val="0030021D"/>
    <w:rsid w:val="003176D0"/>
    <w:rsid w:val="00335663"/>
    <w:rsid w:val="00365A91"/>
    <w:rsid w:val="003B2BEB"/>
    <w:rsid w:val="003C650E"/>
    <w:rsid w:val="003F240F"/>
    <w:rsid w:val="00423DB8"/>
    <w:rsid w:val="00430A3D"/>
    <w:rsid w:val="00432D9E"/>
    <w:rsid w:val="00455C0D"/>
    <w:rsid w:val="004570CE"/>
    <w:rsid w:val="004610AA"/>
    <w:rsid w:val="00466F89"/>
    <w:rsid w:val="004808AB"/>
    <w:rsid w:val="0048099E"/>
    <w:rsid w:val="004B67B1"/>
    <w:rsid w:val="004B7434"/>
    <w:rsid w:val="004C299D"/>
    <w:rsid w:val="004E38A6"/>
    <w:rsid w:val="004F15C2"/>
    <w:rsid w:val="004F66AD"/>
    <w:rsid w:val="00552F31"/>
    <w:rsid w:val="00557219"/>
    <w:rsid w:val="00583420"/>
    <w:rsid w:val="005A586A"/>
    <w:rsid w:val="005C51B7"/>
    <w:rsid w:val="005D23B9"/>
    <w:rsid w:val="005E4C7D"/>
    <w:rsid w:val="005F41B9"/>
    <w:rsid w:val="0061077F"/>
    <w:rsid w:val="00620800"/>
    <w:rsid w:val="00660645"/>
    <w:rsid w:val="006732AE"/>
    <w:rsid w:val="006B6E22"/>
    <w:rsid w:val="006C68F3"/>
    <w:rsid w:val="006F21AD"/>
    <w:rsid w:val="0071159F"/>
    <w:rsid w:val="00724CE6"/>
    <w:rsid w:val="00725BD0"/>
    <w:rsid w:val="0073139C"/>
    <w:rsid w:val="0073330E"/>
    <w:rsid w:val="00743554"/>
    <w:rsid w:val="00750D70"/>
    <w:rsid w:val="00756A4A"/>
    <w:rsid w:val="00763D8B"/>
    <w:rsid w:val="0078428C"/>
    <w:rsid w:val="007913F1"/>
    <w:rsid w:val="007A1168"/>
    <w:rsid w:val="007A2AA8"/>
    <w:rsid w:val="007D40F1"/>
    <w:rsid w:val="007F64B9"/>
    <w:rsid w:val="00823547"/>
    <w:rsid w:val="0083040A"/>
    <w:rsid w:val="008443DB"/>
    <w:rsid w:val="00875D1E"/>
    <w:rsid w:val="0088449C"/>
    <w:rsid w:val="008C1962"/>
    <w:rsid w:val="008E6D65"/>
    <w:rsid w:val="00903ABA"/>
    <w:rsid w:val="009128DF"/>
    <w:rsid w:val="0092270F"/>
    <w:rsid w:val="00950A49"/>
    <w:rsid w:val="00976D11"/>
    <w:rsid w:val="00991492"/>
    <w:rsid w:val="009C5529"/>
    <w:rsid w:val="009F0A12"/>
    <w:rsid w:val="00A0625E"/>
    <w:rsid w:val="00A1356E"/>
    <w:rsid w:val="00A66A98"/>
    <w:rsid w:val="00A860DE"/>
    <w:rsid w:val="00AB469A"/>
    <w:rsid w:val="00AD5243"/>
    <w:rsid w:val="00B1267F"/>
    <w:rsid w:val="00B371FB"/>
    <w:rsid w:val="00B62093"/>
    <w:rsid w:val="00B72B3C"/>
    <w:rsid w:val="00B73A80"/>
    <w:rsid w:val="00B77806"/>
    <w:rsid w:val="00BB1191"/>
    <w:rsid w:val="00BB717E"/>
    <w:rsid w:val="00BD2BC8"/>
    <w:rsid w:val="00BD7480"/>
    <w:rsid w:val="00BF382F"/>
    <w:rsid w:val="00C05641"/>
    <w:rsid w:val="00C06144"/>
    <w:rsid w:val="00C1482E"/>
    <w:rsid w:val="00C16B4D"/>
    <w:rsid w:val="00C3571B"/>
    <w:rsid w:val="00C61BDD"/>
    <w:rsid w:val="00C733CB"/>
    <w:rsid w:val="00C82585"/>
    <w:rsid w:val="00CA585E"/>
    <w:rsid w:val="00CC1404"/>
    <w:rsid w:val="00CF3206"/>
    <w:rsid w:val="00CF5D03"/>
    <w:rsid w:val="00D0305C"/>
    <w:rsid w:val="00D11D3E"/>
    <w:rsid w:val="00D266E3"/>
    <w:rsid w:val="00D34949"/>
    <w:rsid w:val="00D46873"/>
    <w:rsid w:val="00D77917"/>
    <w:rsid w:val="00D821DC"/>
    <w:rsid w:val="00D9749D"/>
    <w:rsid w:val="00DC70FC"/>
    <w:rsid w:val="00E070B5"/>
    <w:rsid w:val="00E408D5"/>
    <w:rsid w:val="00E41F75"/>
    <w:rsid w:val="00E5507B"/>
    <w:rsid w:val="00E80926"/>
    <w:rsid w:val="00E91133"/>
    <w:rsid w:val="00EA5F8C"/>
    <w:rsid w:val="00EC0C94"/>
    <w:rsid w:val="00EF2E6F"/>
    <w:rsid w:val="00F2692F"/>
    <w:rsid w:val="00F548CD"/>
    <w:rsid w:val="00F57FE6"/>
    <w:rsid w:val="00F70D75"/>
    <w:rsid w:val="00F712BF"/>
    <w:rsid w:val="00F95D66"/>
    <w:rsid w:val="00FE7751"/>
    <w:rsid w:val="00F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219A5"/>
  <w15:chartTrackingRefBased/>
  <w15:docId w15:val="{7586E1DD-ADAE-498E-8F1B-3726DA4D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2665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3C65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3">
    <w:name w:val="heading 3"/>
    <w:basedOn w:val="Normal"/>
    <w:link w:val="Cabealho3Carter"/>
    <w:uiPriority w:val="9"/>
    <w:qFormat/>
    <w:rsid w:val="003C65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3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arter"/>
    <w:uiPriority w:val="99"/>
    <w:unhideWhenUsed/>
    <w:rsid w:val="003C650E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C650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3C650E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3C650E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34"/>
    <w:qFormat/>
    <w:rsid w:val="003C650E"/>
    <w:pPr>
      <w:ind w:left="720"/>
      <w:contextualSpacing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3C650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Tipodeletrapredefinidodopargrafo"/>
    <w:uiPriority w:val="22"/>
    <w:qFormat/>
    <w:rsid w:val="003C650E"/>
    <w:rPr>
      <w:b/>
      <w:bCs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3C65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fase">
    <w:name w:val="Emphasis"/>
    <w:basedOn w:val="Tipodeletrapredefinidodopargrafo"/>
    <w:uiPriority w:val="20"/>
    <w:qFormat/>
    <w:rsid w:val="003C650E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3C650E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B0862"/>
    <w:rPr>
      <w:color w:val="954F72" w:themeColor="followedHyperlink"/>
      <w:u w:val="single"/>
    </w:rPr>
  </w:style>
  <w:style w:type="table" w:styleId="Tabelacomgrelha">
    <w:name w:val="Table Grid"/>
    <w:basedOn w:val="Tabelanormal"/>
    <w:uiPriority w:val="39"/>
    <w:rsid w:val="00B37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6732A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732AE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6732AE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732A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732AE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73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732A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Tipodeletrapredefinidodopargrafo"/>
    <w:rsid w:val="003176D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Tipodeletrapredefinidodopargrafo"/>
    <w:rsid w:val="003176D0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paragraph" w:styleId="Reviso">
    <w:name w:val="Revision"/>
    <w:hidden/>
    <w:uiPriority w:val="99"/>
    <w:semiHidden/>
    <w:rsid w:val="00B1267F"/>
    <w:pPr>
      <w:spacing w:after="0" w:line="240" w:lineRule="auto"/>
    </w:pPr>
  </w:style>
  <w:style w:type="character" w:customStyle="1" w:styleId="Cabealho1Carter">
    <w:name w:val="Cabeçalho 1 Caráter"/>
    <w:basedOn w:val="Tipodeletrapredefinidodopargrafo"/>
    <w:link w:val="Cabealho1"/>
    <w:uiPriority w:val="9"/>
    <w:rsid w:val="00266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e.eduardaa@gmail.com" TargetMode="External"/><Relationship Id="rId13" Type="http://schemas.openxmlformats.org/officeDocument/2006/relationships/hyperlink" Target="http://repositorio.ufpa.br/jspui/handle/2011/11830" TargetMode="External"/><Relationship Id="rId18" Type="http://schemas.openxmlformats.org/officeDocument/2006/relationships/hyperlink" Target="https://repositorio.ufpa.br/jspui/handle/2011/17040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doi.org/10.26848/rbgf.v15.5.p2354-237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sr.inpe.br/sbsr2015/files/p0031.pdf" TargetMode="External"/><Relationship Id="rId20" Type="http://schemas.openxmlformats.org/officeDocument/2006/relationships/hyperlink" Target="https://uniesp.edu.br/sites/_biblioteca/revistas/20180403121158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arthexplorer.usgs.gov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cielo.br/j/floram/a/LcqMZdzwxYQdVb5sB58cBBK/?lang=pt" TargetMode="External"/><Relationship Id="rId23" Type="http://schemas.openxmlformats.org/officeDocument/2006/relationships/fontTable" Target="fontTable.xml"/><Relationship Id="rId28" Type="http://schemas.microsoft.com/office/2016/09/relationships/commentsIds" Target="commentsIds.xml"/><Relationship Id="rId10" Type="http://schemas.openxmlformats.org/officeDocument/2006/relationships/image" Target="media/image1.jpeg"/><Relationship Id="rId19" Type="http://schemas.openxmlformats.org/officeDocument/2006/relationships/hyperlink" Target="https://www.researchgate.net/publication/380357682_SISTEMA_HIDROLOGICO_DA_BACIA_HIDROGRAFICA_DO_RIO_MARACANA_AMAZONIA_ORIENTA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cedonaylana@gmail.com" TargetMode="External"/><Relationship Id="rId14" Type="http://schemas.openxmlformats.org/officeDocument/2006/relationships/hyperlink" Target="https://www.ibge.gov.br/geociencias/cartas-e-mapas/informacoes-ambientais/31653-bacias-e-divisoes-hidrograficas-do-brasil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F62FE-25F9-42C5-92CB-BE5B300C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5681</TotalTime>
  <Pages>10</Pages>
  <Words>2602</Words>
  <Characters>14055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</dc:creator>
  <cp:keywords/>
  <dc:description/>
  <cp:lastModifiedBy>eduar</cp:lastModifiedBy>
  <cp:revision>88</cp:revision>
  <cp:lastPrinted>2025-10-31T16:46:00Z</cp:lastPrinted>
  <dcterms:created xsi:type="dcterms:W3CDTF">2025-10-11T14:09:00Z</dcterms:created>
  <dcterms:modified xsi:type="dcterms:W3CDTF">2025-10-31T18:19:00Z</dcterms:modified>
</cp:coreProperties>
</file>