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273F" w14:textId="77777777" w:rsidR="00E63080" w:rsidRDefault="00E630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05879EC" w14:textId="6FC67D72" w:rsidR="00E63080" w:rsidRDefault="00ED1C42">
      <w:pPr>
        <w:spacing w:after="120"/>
        <w:ind w:right="6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Manejo de paciente pediátrico com múltiplas restaurações dentárias em Odontopediatria: Relato de caso</w:t>
      </w:r>
      <w:r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footnoteReference w:id="1"/>
      </w:r>
    </w:p>
    <w:p w14:paraId="6D4A2AFF" w14:textId="77777777" w:rsidR="00E63080" w:rsidRDefault="00E63080">
      <w:pPr>
        <w:ind w:right="660"/>
        <w:jc w:val="right"/>
        <w:rPr>
          <w:rFonts w:ascii="Cambria" w:eastAsia="Cambria" w:hAnsi="Cambria" w:cs="Cambria"/>
          <w:sz w:val="22"/>
          <w:szCs w:val="22"/>
        </w:rPr>
      </w:pPr>
    </w:p>
    <w:p w14:paraId="516077CA" w14:textId="77777777" w:rsidR="00E63080" w:rsidRDefault="00000000">
      <w:pPr>
        <w:ind w:right="660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Brenda Ribeiro da SILVA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CE063A9" w14:textId="77777777" w:rsidR="00E63080" w:rsidRDefault="00000000">
      <w:pPr>
        <w:ind w:right="660"/>
        <w:jc w:val="right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Crystiane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Cruz Rios Moreira de FREITAS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</w:p>
    <w:p w14:paraId="475C3E15" w14:textId="78D9D9A9" w:rsidR="00E63080" w:rsidRDefault="00ED1C42">
      <w:pPr>
        <w:ind w:right="660"/>
        <w:jc w:val="righ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sz w:val="22"/>
          <w:szCs w:val="22"/>
        </w:rPr>
        <w:t>Neusa Barros Dantas NETA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</w:p>
    <w:p w14:paraId="5694E6BA" w14:textId="77777777" w:rsidR="00E63080" w:rsidRDefault="00E63080">
      <w:pPr>
        <w:ind w:right="660"/>
        <w:jc w:val="both"/>
        <w:rPr>
          <w:rFonts w:ascii="Arial" w:eastAsia="Arial" w:hAnsi="Arial" w:cs="Arial"/>
        </w:rPr>
      </w:pPr>
    </w:p>
    <w:p w14:paraId="296445FD" w14:textId="77777777" w:rsidR="00E63080" w:rsidRDefault="00000000">
      <w:pPr>
        <w:spacing w:after="120"/>
        <w:ind w:right="6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RESUMO</w:t>
      </w:r>
    </w:p>
    <w:p w14:paraId="02FEB324" w14:textId="7C5E0E33" w:rsidR="00374F18" w:rsidRDefault="00000000">
      <w:pPr>
        <w:spacing w:after="120"/>
        <w:ind w:right="6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>
        <w:t xml:space="preserve"> </w:t>
      </w:r>
      <w:r w:rsidR="00374F18" w:rsidRPr="00374F18">
        <w:t>A cárie dentária é uma doença crônica e multifatorial, resultante da interação entre biofilme dental, dieta e suscetibilidade do hospedeiro. Iniciada geralmente na infância, permanece como um importante problema de saúde pública, agravado pelo acesso limitado à educação em saúde e aos serviços odontológicos.</w:t>
      </w:r>
      <w:r w:rsidR="00374F18">
        <w:t xml:space="preserve"> O objetivo do trabalho é r</w:t>
      </w:r>
      <w:r w:rsidR="00374F18" w:rsidRPr="00374F18">
        <w:t>elatar um caso clínico de cárie severa na infância, abordando o planejamento terapêutico e a reabilitação estética e funcional por meio de condutas clínicas integradas.</w:t>
      </w:r>
      <w:r w:rsidR="00374F18">
        <w:t xml:space="preserve"> </w:t>
      </w:r>
      <w:proofErr w:type="gramStart"/>
      <w:r>
        <w:rPr>
          <w:rFonts w:ascii="Calibri" w:eastAsia="Calibri" w:hAnsi="Calibri" w:cs="Calibri"/>
          <w:b/>
          <w:color w:val="000000"/>
        </w:rPr>
        <w:t>RELATO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DO CASO:</w:t>
      </w:r>
      <w:r>
        <w:t xml:space="preserve"> </w:t>
      </w:r>
      <w:r w:rsidR="00374F18" w:rsidRPr="00374F18">
        <w:t>Paciente do sexo feminino, 4 anos de idade, compareceu à clínica de Odontopediatria do Serviço-Escola Integrado de Saúde Carolina de Freitas Lira, acompanhada pelos pais, que relataram sensibilidade em vários dentes e comprometimento estético. Ao exame clínico, observaram-se lesões cariosas extensas e ativas. O exame radiográfico revelou envolvimento pulpar nos elementos 51, 52, 61, 62, 74, 84 e 85. O plano de tratamento incluiu pulpectomias com uso de pasta de hidróxido de cálcio e posterior reconstrução estética com resina composta, além de tratamento endodôntico com pasta CTZ nos molares. O manejo da paciente foi realizado com técnicas comportamentais adequadas, e os responsáveis foram orientados semanalmente quanto à higiene bucal e controle dietético.</w:t>
      </w:r>
      <w:r w:rsidR="00374F18">
        <w:t xml:space="preserve"> </w:t>
      </w:r>
      <w:r>
        <w:rPr>
          <w:rFonts w:ascii="Calibri" w:eastAsia="Calibri" w:hAnsi="Calibri" w:cs="Calibri"/>
          <w:b/>
        </w:rPr>
        <w:t>CONSIDERAÇÕES FINAIS:</w:t>
      </w:r>
      <w:r>
        <w:rPr>
          <w:rFonts w:ascii="Calibri" w:eastAsia="Calibri" w:hAnsi="Calibri" w:cs="Calibri"/>
        </w:rPr>
        <w:t xml:space="preserve"> </w:t>
      </w:r>
      <w:r w:rsidR="00374F18" w:rsidRPr="00374F18">
        <w:rPr>
          <w:rFonts w:ascii="Calibri" w:eastAsia="Calibri" w:hAnsi="Calibri" w:cs="Calibri"/>
        </w:rPr>
        <w:t>A conduta adotada permitiu a reabilitação estética e funcional da paciente, evidenciando a importância do planejamento individualizado. O sucesso do caso reforça a necessidade de um manejo multidisciplinar aliado ao envolvimento familiar para o controle efetivo da cárie dentária na infância.</w:t>
      </w:r>
    </w:p>
    <w:p w14:paraId="1007AC0B" w14:textId="77777777" w:rsidR="00374F18" w:rsidRDefault="00374F18">
      <w:pPr>
        <w:spacing w:after="120"/>
        <w:ind w:right="660"/>
        <w:jc w:val="both"/>
        <w:rPr>
          <w:rFonts w:ascii="Calibri" w:eastAsia="Calibri" w:hAnsi="Calibri" w:cs="Calibri"/>
        </w:rPr>
      </w:pPr>
    </w:p>
    <w:p w14:paraId="03664766" w14:textId="002B166B" w:rsidR="00E63080" w:rsidRDefault="00000000">
      <w:pPr>
        <w:spacing w:after="120"/>
        <w:ind w:right="6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DESCRITORES: </w:t>
      </w:r>
      <w:r w:rsidR="00E2269E">
        <w:rPr>
          <w:rFonts w:ascii="Calibri" w:eastAsia="Calibri" w:hAnsi="Calibri" w:cs="Calibri"/>
        </w:rPr>
        <w:t>Manejo</w:t>
      </w:r>
      <w:r>
        <w:rPr>
          <w:rFonts w:ascii="Calibri" w:eastAsia="Calibri" w:hAnsi="Calibri" w:cs="Calibri"/>
        </w:rPr>
        <w:t xml:space="preserve">. Odontopediatria. Cárie dentária. </w:t>
      </w:r>
    </w:p>
    <w:sectPr w:rsidR="00E63080">
      <w:headerReference w:type="default" r:id="rId7"/>
      <w:footerReference w:type="default" r:id="rId8"/>
      <w:headerReference w:type="first" r:id="rId9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1E04" w14:textId="77777777" w:rsidR="00AD0278" w:rsidRDefault="00AD0278">
      <w:r>
        <w:separator/>
      </w:r>
    </w:p>
  </w:endnote>
  <w:endnote w:type="continuationSeparator" w:id="0">
    <w:p w14:paraId="554C5FC7" w14:textId="77777777" w:rsidR="00AD0278" w:rsidRDefault="00AD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C935" w14:textId="77777777" w:rsidR="00E63080" w:rsidRDefault="00E630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1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E63080" w14:paraId="27D3DAE9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37F8D364" w14:textId="77777777" w:rsidR="00E63080" w:rsidRDefault="00E63080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5FD274B3" w14:textId="77777777" w:rsidR="00E63080" w:rsidRDefault="00000000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0581D4FF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54582" w14:textId="77777777" w:rsidR="00AD0278" w:rsidRDefault="00AD0278">
      <w:r>
        <w:separator/>
      </w:r>
    </w:p>
  </w:footnote>
  <w:footnote w:type="continuationSeparator" w:id="0">
    <w:p w14:paraId="25C40476" w14:textId="77777777" w:rsidR="00AD0278" w:rsidRDefault="00AD0278">
      <w:r>
        <w:continuationSeparator/>
      </w:r>
    </w:p>
  </w:footnote>
  <w:footnote w:id="1">
    <w:p w14:paraId="6DCEADB1" w14:textId="77777777" w:rsidR="00E6308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2CEA559D" w14:textId="77777777" w:rsidR="00E63080" w:rsidRDefault="00000000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Autor. Estudante do curso de graduação em Odontologia no Centro Universitário Santo Agostinho (UNIFSA).</w:t>
      </w:r>
    </w:p>
    <w:p w14:paraId="34E33AAF" w14:textId="60A487B4" w:rsidR="00E63080" w:rsidRDefault="00000000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3 </w:t>
      </w:r>
      <w:r w:rsidR="00122448" w:rsidRPr="00122448">
        <w:rPr>
          <w:sz w:val="28"/>
          <w:szCs w:val="28"/>
          <w:vertAlign w:val="superscript"/>
        </w:rPr>
        <w:t>Doutora em Odontopediatria pela Universidade Federal de Minas Gerais (capes 6), Mestre em Odontologia pela Universidade Federal do Piauí</w:t>
      </w:r>
      <w:r w:rsidR="00374F18">
        <w:rPr>
          <w:sz w:val="28"/>
          <w:szCs w:val="28"/>
          <w:vertAlign w:val="superscript"/>
        </w:rPr>
        <w:t xml:space="preserve">, </w:t>
      </w:r>
      <w:r w:rsidR="00122448" w:rsidRPr="00122448">
        <w:rPr>
          <w:sz w:val="28"/>
          <w:szCs w:val="28"/>
          <w:vertAlign w:val="superscript"/>
        </w:rPr>
        <w:t>graduada em Odontologia pela mesma Universidade</w:t>
      </w:r>
      <w:r w:rsidR="00374F18">
        <w:rPr>
          <w:sz w:val="28"/>
          <w:szCs w:val="28"/>
          <w:vertAlign w:val="superscript"/>
        </w:rPr>
        <w:t>. Professora das d</w:t>
      </w:r>
      <w:r w:rsidR="00122448" w:rsidRPr="00122448">
        <w:rPr>
          <w:sz w:val="28"/>
          <w:szCs w:val="28"/>
          <w:vertAlign w:val="superscript"/>
        </w:rPr>
        <w:t>isciplina</w:t>
      </w:r>
      <w:r w:rsidR="00374F18">
        <w:rPr>
          <w:sz w:val="28"/>
          <w:szCs w:val="28"/>
          <w:vertAlign w:val="superscript"/>
        </w:rPr>
        <w:t>s</w:t>
      </w:r>
      <w:r w:rsidR="00122448" w:rsidRPr="00122448">
        <w:rPr>
          <w:sz w:val="28"/>
          <w:szCs w:val="28"/>
          <w:vertAlign w:val="superscript"/>
        </w:rPr>
        <w:t xml:space="preserve"> de Odontopediatria e Metodologia da Pesquisa no Centro Universitário </w:t>
      </w:r>
      <w:proofErr w:type="spellStart"/>
      <w:r w:rsidR="00122448" w:rsidRPr="00122448">
        <w:rPr>
          <w:sz w:val="28"/>
          <w:szCs w:val="28"/>
          <w:vertAlign w:val="superscript"/>
        </w:rPr>
        <w:t>UniFsa</w:t>
      </w:r>
      <w:proofErr w:type="spellEnd"/>
      <w:r w:rsidR="00122448">
        <w:rPr>
          <w:sz w:val="28"/>
          <w:szCs w:val="28"/>
          <w:vertAlign w:val="superscript"/>
        </w:rPr>
        <w:t>.</w:t>
      </w:r>
    </w:p>
  </w:footnote>
  <w:footnote w:id="3">
    <w:p w14:paraId="0C4F0C77" w14:textId="064AE13A" w:rsidR="00E63080" w:rsidRDefault="00E63080">
      <w:pPr>
        <w:jc w:val="both"/>
        <w:rPr>
          <w:sz w:val="20"/>
          <w:szCs w:val="20"/>
        </w:rPr>
      </w:pPr>
    </w:p>
    <w:p w14:paraId="4F9DF03F" w14:textId="2F6D11A6" w:rsidR="00E63080" w:rsidRDefault="00E63080">
      <w:pPr>
        <w:jc w:val="both"/>
        <w:rPr>
          <w:sz w:val="20"/>
          <w:szCs w:val="20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D33B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B0B4E14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7BBF58B0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BB1B" w14:textId="77777777" w:rsidR="00E630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433527B" wp14:editId="6FF0392F">
          <wp:simplePos x="0" y="0"/>
          <wp:positionH relativeFrom="column">
            <wp:posOffset>-662302</wp:posOffset>
          </wp:positionH>
          <wp:positionV relativeFrom="paragraph">
            <wp:posOffset>-307203</wp:posOffset>
          </wp:positionV>
          <wp:extent cx="7248500" cy="1484416"/>
          <wp:effectExtent l="0" t="0" r="0" b="0"/>
          <wp:wrapNone/>
          <wp:docPr id="15645189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3BE163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4425FFF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16962A0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2F95550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24AB8F3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7A6343E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E2F1300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6EF8D717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B60835E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209C8A49" w14:textId="77777777" w:rsidR="00E63080" w:rsidRDefault="00E630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071E3E5" w14:textId="77777777" w:rsidR="00E63080" w:rsidRDefault="00000000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80"/>
    <w:rsid w:val="00122448"/>
    <w:rsid w:val="00311D2C"/>
    <w:rsid w:val="00374F18"/>
    <w:rsid w:val="00AD0278"/>
    <w:rsid w:val="00CD7D1C"/>
    <w:rsid w:val="00D4699F"/>
    <w:rsid w:val="00E2269E"/>
    <w:rsid w:val="00E46258"/>
    <w:rsid w:val="00E63080"/>
    <w:rsid w:val="00ED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5A70"/>
  <w15:docId w15:val="{D9387555-8FD8-45A5-BC5E-0D5EC02C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</w:style>
  <w:style w:type="paragraph" w:styleId="Ttulo1">
    <w:name w:val="heading 1"/>
    <w:basedOn w:val="Normal"/>
    <w:next w:val="Normal"/>
    <w:link w:val="Ttulo1Char"/>
    <w:uiPriority w:val="9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3709F7"/>
    <w:pPr>
      <w:spacing w:line="360" w:lineRule="auto"/>
      <w:jc w:val="center"/>
    </w:pPr>
    <w:rPr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FAvWwGOCXMRl1XnVMq01o8duQ==">CgMxLjA4AHIhMUtuNVF5SEtxVXE4b0RjZVpuQzkwTEhrUmdkY3hVN284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KELMA GALLAS</dc:creator>
  <cp:lastModifiedBy>Neusa Barros</cp:lastModifiedBy>
  <cp:revision>2</cp:revision>
  <dcterms:created xsi:type="dcterms:W3CDTF">2025-05-23T18:30:00Z</dcterms:created>
  <dcterms:modified xsi:type="dcterms:W3CDTF">2025-05-23T18:30:00Z</dcterms:modified>
</cp:coreProperties>
</file>