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B2A" w:rsidRPr="00BC7DD0" w:rsidRDefault="00BC7DD0" w:rsidP="00D03B2A">
      <w:pPr>
        <w:jc w:val="center"/>
        <w:rPr>
          <w:rFonts w:ascii="Arial" w:hAnsi="Arial" w:cs="Arial"/>
          <w:b/>
          <w:sz w:val="24"/>
          <w:szCs w:val="24"/>
        </w:rPr>
      </w:pPr>
      <w:r w:rsidRPr="00BC7DD0">
        <w:rPr>
          <w:rFonts w:ascii="Arial" w:hAnsi="Arial" w:cs="Arial"/>
          <w:b/>
          <w:sz w:val="24"/>
          <w:szCs w:val="24"/>
        </w:rPr>
        <w:t>TRANSPLANTE DE MICROBIOTA NO MANEJO DAS DOENÇAS INFLAMATÓRIAS INTESTINAIS</w:t>
      </w:r>
    </w:p>
    <w:p w:rsidR="00D03B2A" w:rsidRPr="00BC7DD0" w:rsidRDefault="00D03B2A" w:rsidP="00D03B2A">
      <w:pPr>
        <w:jc w:val="center"/>
        <w:rPr>
          <w:rFonts w:ascii="Arial" w:hAnsi="Arial" w:cs="Arial"/>
          <w:b/>
          <w:sz w:val="24"/>
          <w:szCs w:val="24"/>
        </w:rPr>
      </w:pPr>
      <w:r w:rsidRPr="00BC7DD0">
        <w:rPr>
          <w:rFonts w:ascii="Arial" w:hAnsi="Arial" w:cs="Arial"/>
          <w:b/>
          <w:sz w:val="24"/>
          <w:szCs w:val="24"/>
        </w:rPr>
        <w:t xml:space="preserve"> Carolina Ribeiro Fernandes Oliveira</w:t>
      </w:r>
      <w:r w:rsidRPr="00BC7DD0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BC7DD0">
        <w:rPr>
          <w:rFonts w:ascii="Arial" w:hAnsi="Arial" w:cs="Arial"/>
          <w:b/>
          <w:sz w:val="24"/>
          <w:szCs w:val="24"/>
        </w:rPr>
        <w:t xml:space="preserve">; </w:t>
      </w:r>
      <w:r w:rsidR="00BC7DD0" w:rsidRPr="00BC7DD0">
        <w:rPr>
          <w:rFonts w:ascii="Arial" w:hAnsi="Arial" w:cs="Arial"/>
          <w:b/>
          <w:sz w:val="24"/>
          <w:szCs w:val="24"/>
        </w:rPr>
        <w:t>Isadora Lima do Prado</w:t>
      </w:r>
      <w:r w:rsidRPr="00BC7DD0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BC7DD0">
        <w:rPr>
          <w:rFonts w:ascii="Arial" w:hAnsi="Arial" w:cs="Arial"/>
          <w:b/>
          <w:sz w:val="24"/>
          <w:szCs w:val="24"/>
        </w:rPr>
        <w:t xml:space="preserve">; </w:t>
      </w:r>
      <w:r w:rsidR="00BC7DD0" w:rsidRPr="00BC7DD0">
        <w:rPr>
          <w:rFonts w:ascii="Arial" w:hAnsi="Arial" w:cs="Arial"/>
          <w:b/>
          <w:sz w:val="24"/>
          <w:szCs w:val="24"/>
        </w:rPr>
        <w:t>Venâncio Tavares Trindade</w:t>
      </w:r>
      <w:r w:rsidRPr="00BC7DD0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BC7DD0">
        <w:rPr>
          <w:rFonts w:ascii="Arial" w:hAnsi="Arial" w:cs="Arial"/>
          <w:b/>
          <w:sz w:val="24"/>
          <w:szCs w:val="24"/>
        </w:rPr>
        <w:t>; Danúbio Antônio de Oliveira</w:t>
      </w:r>
      <w:r w:rsidRPr="00BC7DD0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BC7DD0">
        <w:rPr>
          <w:rFonts w:ascii="Arial" w:hAnsi="Arial" w:cs="Arial"/>
          <w:b/>
          <w:sz w:val="24"/>
          <w:szCs w:val="24"/>
        </w:rPr>
        <w:t>.</w:t>
      </w:r>
    </w:p>
    <w:p w:rsidR="00D03B2A" w:rsidRPr="00BC7DD0" w:rsidRDefault="00D03B2A" w:rsidP="00D03B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C7DD0">
        <w:rPr>
          <w:rFonts w:ascii="Arial" w:hAnsi="Arial" w:cs="Arial"/>
          <w:sz w:val="24"/>
          <w:szCs w:val="24"/>
        </w:rPr>
        <w:t xml:space="preserve">1. Discente do curso de medicina do Centro Universitário de Anápolis – </w:t>
      </w:r>
      <w:proofErr w:type="spellStart"/>
      <w:r w:rsidRPr="00BC7DD0">
        <w:rPr>
          <w:rFonts w:ascii="Arial" w:hAnsi="Arial" w:cs="Arial"/>
          <w:sz w:val="24"/>
          <w:szCs w:val="24"/>
        </w:rPr>
        <w:t>UniEVANGÉLICA</w:t>
      </w:r>
      <w:proofErr w:type="spellEnd"/>
    </w:p>
    <w:p w:rsidR="00D03B2A" w:rsidRPr="00BC7DD0" w:rsidRDefault="00D03B2A" w:rsidP="00D03B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C7DD0">
        <w:rPr>
          <w:rFonts w:ascii="Arial" w:hAnsi="Arial" w:cs="Arial"/>
          <w:sz w:val="24"/>
          <w:szCs w:val="24"/>
        </w:rPr>
        <w:t xml:space="preserve">2. Docente do curso de medicina do Centro Universitário de Anápolis – </w:t>
      </w:r>
      <w:proofErr w:type="spellStart"/>
      <w:r w:rsidRPr="00BC7DD0">
        <w:rPr>
          <w:rFonts w:ascii="Arial" w:hAnsi="Arial" w:cs="Arial"/>
          <w:sz w:val="24"/>
          <w:szCs w:val="24"/>
        </w:rPr>
        <w:t>UniEVANGÉLICA</w:t>
      </w:r>
      <w:proofErr w:type="spellEnd"/>
      <w:r w:rsidRPr="00BC7DD0">
        <w:rPr>
          <w:rFonts w:ascii="Arial" w:hAnsi="Arial" w:cs="Arial"/>
          <w:sz w:val="24"/>
          <w:szCs w:val="24"/>
        </w:rPr>
        <w:t>.</w:t>
      </w:r>
    </w:p>
    <w:p w:rsidR="00D03B2A" w:rsidRPr="00BC7DD0" w:rsidRDefault="00D03B2A" w:rsidP="00D03B2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7DD0">
        <w:rPr>
          <w:rFonts w:ascii="Arial" w:hAnsi="Arial" w:cs="Arial"/>
          <w:b/>
          <w:sz w:val="24"/>
          <w:szCs w:val="24"/>
        </w:rPr>
        <w:t>RESUMO</w:t>
      </w:r>
    </w:p>
    <w:p w:rsidR="00BC40E3" w:rsidRPr="00423FA8" w:rsidRDefault="00BC7DD0" w:rsidP="00423FA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C7D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Introdução:</w:t>
      </w:r>
      <w:r w:rsidRPr="00BC7DD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BC7D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A doença inflamatória intestinal (DII) é um distúrbio inflamatório crônico do trato gastrointestinal de causa exata ainda desconhecida. Sabe-se que há interações entre a suscetibilidade genética, os fatores ambientais, a microbiota intestinal e o sistema imunológico. Pesquisas já mostraram que a disbiose da microbiota intestinal está associada a DII e, nesse sentido, o transplante de microbiota fecal (TMF) é uma abordagem emergente de tratamento para a DII. O transplante de microbiota fecal já se mostrou eficaz no tratamento de infecção refratária e recorrente por Clostridium </w:t>
      </w:r>
      <w:proofErr w:type="spellStart"/>
      <w:r w:rsidRPr="00BC7D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difficile</w:t>
      </w:r>
      <w:proofErr w:type="spellEnd"/>
      <w:r w:rsidRPr="00BC7D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o que incentivou pesquisas para esse tipo de tratamento para outras doenças</w:t>
      </w:r>
      <w:r w:rsidRPr="00BC7DD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BC7D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No entanto, ainda existem poucos estudos sobre a segurança e eficácia dessa terapia para os pacientes com DII. Desta forma, esse trabalho tem como objetivo </w:t>
      </w:r>
      <w:r w:rsidRPr="00BC7DD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buscar na literatura artigos que correlacionem o transplante de fezes no tratamento da DII. </w:t>
      </w:r>
      <w:r w:rsidRPr="00BC7D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Métodos:</w:t>
      </w:r>
      <w:r w:rsidRPr="00BC7D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Realizou-se uma revisão de literatura e foram selecionados artigos </w:t>
      </w:r>
      <w:r w:rsidRPr="00BC7DD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científicos a partir do ano de 2018 </w:t>
      </w:r>
      <w:r w:rsidRPr="00BC7D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das plataformas </w:t>
      </w:r>
      <w:proofErr w:type="spellStart"/>
      <w:r w:rsidRPr="00BC7D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PubMed</w:t>
      </w:r>
      <w:proofErr w:type="spellEnd"/>
      <w:r w:rsidRPr="00BC7D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e </w:t>
      </w:r>
      <w:r w:rsidRPr="00BC7DD0">
        <w:rPr>
          <w:rFonts w:ascii="Arial" w:hAnsi="Arial" w:cs="Arial"/>
          <w:color w:val="000000"/>
          <w:sz w:val="24"/>
          <w:szCs w:val="24"/>
          <w:shd w:val="clear" w:color="auto" w:fill="FFFFFF"/>
        </w:rPr>
        <w:t>G</w:t>
      </w:r>
      <w:r w:rsidRPr="00BC7D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oogle </w:t>
      </w:r>
      <w:r w:rsidRPr="00BC7DD0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BC7D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cadêmico, utilizando os descritores</w:t>
      </w:r>
      <w:r w:rsidRPr="00BC7DD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transplante fecal; tratamento; doença inflamatória intestinal. </w:t>
      </w:r>
      <w:r w:rsidRPr="00BC7D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Desenvolvimento:</w:t>
      </w:r>
      <w:r w:rsidRPr="00BC7D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BC7DD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Estudos mostraram que muitos pacientes que receberam TMF desenvolveram uma diversidade microbiana, obtiveram uma diminuição dos sintomas, cessaram o uso de medicamentos para DII e/ ou tiveram uma remissão clínica. Entretanto, deve-se levar em consideração que esses estudos podem estar relacionados a vários fatores, como seleção de doadores, preparação do TMF, duração do diagnóstico e gravidade da doença. Os efeitos adversos geralmente são leves e autolimitados, sendo o principal o desconforto abdominal. Os pacientes com </w:t>
      </w:r>
      <w:proofErr w:type="spellStart"/>
      <w:r w:rsidRPr="00BC7DD0">
        <w:rPr>
          <w:rFonts w:ascii="Arial" w:hAnsi="Arial" w:cs="Arial"/>
          <w:color w:val="000000"/>
          <w:sz w:val="24"/>
          <w:szCs w:val="24"/>
          <w:shd w:val="clear" w:color="auto" w:fill="FFFFFF"/>
        </w:rPr>
        <w:t>retocolite</w:t>
      </w:r>
      <w:proofErr w:type="spellEnd"/>
      <w:r w:rsidRPr="00BC7DD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ulcerativa apresentaram resultados melhores em comparação àqueles com doença de </w:t>
      </w:r>
      <w:proofErr w:type="spellStart"/>
      <w:r w:rsidRPr="00BC7DD0">
        <w:rPr>
          <w:rFonts w:ascii="Arial" w:hAnsi="Arial" w:cs="Arial"/>
          <w:color w:val="000000"/>
          <w:sz w:val="24"/>
          <w:szCs w:val="24"/>
          <w:shd w:val="clear" w:color="auto" w:fill="FFFFFF"/>
        </w:rPr>
        <w:t>Crohn</w:t>
      </w:r>
      <w:proofErr w:type="spellEnd"/>
      <w:r w:rsidRPr="00BC7DD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BC7DD0">
        <w:rPr>
          <w:rFonts w:ascii="Arial" w:hAnsi="Arial" w:cs="Arial"/>
          <w:sz w:val="24"/>
          <w:szCs w:val="24"/>
        </w:rPr>
        <w:t xml:space="preserve">O desafio que faz diminuir o entusiasmo no tratamento clínico com transplante fecal de doenças inflamatórias é o risco de introdução de </w:t>
      </w:r>
      <w:proofErr w:type="spellStart"/>
      <w:r w:rsidRPr="00BC7DD0">
        <w:rPr>
          <w:rFonts w:ascii="Arial" w:hAnsi="Arial" w:cs="Arial"/>
          <w:sz w:val="24"/>
          <w:szCs w:val="24"/>
        </w:rPr>
        <w:t>microorganismos</w:t>
      </w:r>
      <w:proofErr w:type="spellEnd"/>
      <w:r w:rsidRPr="00BC7DD0">
        <w:rPr>
          <w:rFonts w:ascii="Arial" w:hAnsi="Arial" w:cs="Arial"/>
          <w:sz w:val="24"/>
          <w:szCs w:val="24"/>
        </w:rPr>
        <w:t xml:space="preserve"> patogênicos que mais tarde poderiam exacerbar as condições da doença, visto que o </w:t>
      </w:r>
      <w:proofErr w:type="spellStart"/>
      <w:r w:rsidRPr="00BC7DD0">
        <w:rPr>
          <w:rFonts w:ascii="Arial" w:hAnsi="Arial" w:cs="Arial"/>
          <w:sz w:val="24"/>
          <w:szCs w:val="24"/>
        </w:rPr>
        <w:t>microbioma</w:t>
      </w:r>
      <w:proofErr w:type="spellEnd"/>
      <w:r w:rsidRPr="00BC7DD0">
        <w:rPr>
          <w:rFonts w:ascii="Arial" w:hAnsi="Arial" w:cs="Arial"/>
          <w:sz w:val="24"/>
          <w:szCs w:val="24"/>
        </w:rPr>
        <w:t xml:space="preserve"> intestinal é um organismo dinâmico e vivo que evolui constantemente ao longo do tempo.</w:t>
      </w:r>
      <w:r w:rsidRPr="00BC7DD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C7DD0">
        <w:rPr>
          <w:rFonts w:ascii="Arial" w:hAnsi="Arial" w:cs="Arial"/>
          <w:b/>
          <w:bCs/>
          <w:sz w:val="24"/>
          <w:szCs w:val="24"/>
        </w:rPr>
        <w:t xml:space="preserve">Conclusão: </w:t>
      </w:r>
      <w:r w:rsidRPr="00BC7DD0">
        <w:rPr>
          <w:rFonts w:ascii="Arial" w:hAnsi="Arial" w:cs="Arial"/>
          <w:sz w:val="24"/>
          <w:szCs w:val="24"/>
        </w:rPr>
        <w:t xml:space="preserve">O transplante de microbiota intestinal tem mostrado, em alguns estudos, um efeito benéfico em pacientes com doença inflamatória intestinal, principalmente na </w:t>
      </w:r>
      <w:proofErr w:type="spellStart"/>
      <w:r w:rsidRPr="00BC7DD0">
        <w:rPr>
          <w:rFonts w:ascii="Arial" w:hAnsi="Arial" w:cs="Arial"/>
          <w:sz w:val="24"/>
          <w:szCs w:val="24"/>
        </w:rPr>
        <w:t>retocolite</w:t>
      </w:r>
      <w:proofErr w:type="spellEnd"/>
      <w:r w:rsidRPr="00BC7DD0">
        <w:rPr>
          <w:rFonts w:ascii="Arial" w:hAnsi="Arial" w:cs="Arial"/>
          <w:sz w:val="24"/>
          <w:szCs w:val="24"/>
        </w:rPr>
        <w:t xml:space="preserve"> ulcerativa. No entanto ainda precisam surgir mais estudos que comprovam um tratamento eficaz a curto e a longo prazo por meio dessa terapia. </w:t>
      </w:r>
    </w:p>
    <w:sectPr w:rsidR="00BC40E3" w:rsidRPr="00423FA8" w:rsidSect="00756DEB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EB"/>
    <w:rsid w:val="0038599D"/>
    <w:rsid w:val="00423FA8"/>
    <w:rsid w:val="0047452D"/>
    <w:rsid w:val="00572C69"/>
    <w:rsid w:val="00756DEB"/>
    <w:rsid w:val="00BC40E3"/>
    <w:rsid w:val="00BC7DD0"/>
    <w:rsid w:val="00D0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4EBC"/>
  <w15:chartTrackingRefBased/>
  <w15:docId w15:val="{50D1CFE5-D7AC-4FD8-93B6-284B7CFA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isalimaprado19@gmail.com</dc:creator>
  <cp:keywords/>
  <dc:description/>
  <cp:lastModifiedBy>carolina ribeiro fernandes</cp:lastModifiedBy>
  <cp:revision>2</cp:revision>
  <dcterms:created xsi:type="dcterms:W3CDTF">2020-07-05T19:39:00Z</dcterms:created>
  <dcterms:modified xsi:type="dcterms:W3CDTF">2020-07-05T19:39:00Z</dcterms:modified>
</cp:coreProperties>
</file>