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851DC" w14:textId="77777777" w:rsidR="00FC6C12" w:rsidRDefault="00FC6C12" w:rsidP="000E315C">
      <w:p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62661F" w14:textId="137C971B" w:rsidR="000E315C" w:rsidRDefault="00C4100A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410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DESENVOLVIMENTO E APLICAÇÃO DE TECNOLOGIA DIGITAL PARA AUTOAVALIAÇÃO ÉTICA NO AMBIENTE HOSPITALAR</w:t>
      </w:r>
    </w:p>
    <w:p w14:paraId="3F1C3AFD" w14:textId="77777777" w:rsidR="00FC6C12" w:rsidRDefault="00FC6C12">
      <w:pPr>
        <w:pBdr>
          <w:top w:val="nil"/>
          <w:left w:val="nil"/>
          <w:bottom w:val="nil"/>
          <w:right w:val="nil"/>
          <w:between w:val="nil"/>
        </w:pBdr>
        <w:spacing w:after="10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90FCEA2" w14:textId="6B70E0C4" w:rsidR="00FC6C12" w:rsidRDefault="00000000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INTRODUÇÃO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> A atuação da equipe de enfermagem requer qualidade, segurança e humanização da assistência em saúde, demandando habilidades técnicas e científicas e compromisso contínuo com princípios éticos. A ética profissional ultrapassa o campo normativo e se concretiza nas decisões cotidianas, nas relações interpessoais e na forma como o cuidado é ofertado ao paciente, à família e à comunidade.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âmbito normativo, o Código de Ética dos Profissionais de Enfermagem, instituído pelo Conselho Federal de Enfermagem por meio da Resolução nº 564/2017 do COFEN, estabelece direitos, deveres, proibições, infrações e penalidades. Mais do que normas, representa um referencial teórico e prático que orienta a tomada de decisão e sustenta a atuação ética.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Seus princípios enfatizam o respeito à vida, à dignidade humana, aos direitos dos usuários e profissionais e à responsabilidade social. É necessário aproximar a teoria normativa da prática cotidiana, articulando o que é preconizado pelo código e o que é vivenciado.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autoavaliação configura-se como mecanismo indispensável para o desenvolvimento profissional, possibilitando análise crítica das condutas, identificação de fragilidades, consolidação de competências e construção de prática consciente.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Entretanto, a incorporação da ética profissional e da autoavaliação na rotina ainda enfrenta entraves. A sobrecarga de trabalho e a ausência de espaços de reflexão crítica contribuem para a fragilização dessas práticas.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Ademais, em diversos serviços, as interações entre profissionais são marcadas por desrespeito interpessoal, naturalizado no cotidiano. Essa realidade evidencia falhas nas relações de trabalho e omissão institucional, perpetuando ambientes </w:t>
      </w:r>
      <w:proofErr w:type="spellStart"/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>adoecedores</w:t>
      </w:r>
      <w:proofErr w:type="spellEnd"/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comprometem a saúde dos profissionais e a qualidade da assistência.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Assim, é necessário identificar os fatores que prejudicam a perpetuação da ética no cotidiano, para que intervenções eficazes sejam feitas, a fim de garantir o bem-estar profissional e a qualidade da assistência.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34A5" w:rsidRPr="003A3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OBJETIVOS: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1F96" w:rsidRPr="00E31F96">
        <w:rPr>
          <w:rFonts w:ascii="Times New Roman" w:eastAsia="Times New Roman" w:hAnsi="Times New Roman" w:cs="Times New Roman"/>
          <w:color w:val="000000"/>
          <w:sz w:val="24"/>
          <w:szCs w:val="24"/>
        </w:rPr>
        <w:t>Desenvolver e aplicar uma tecnologia digital de autoavaliação ética, analisando as percepções da equipe de enfermagem sobre condutas éticas no ambiente hospitalar.</w:t>
      </w:r>
      <w:r w:rsidR="00E31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34A5" w:rsidRPr="003A3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MÉTODO: 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Trata-se de um relato de experiência, de caráter descritivo e abordagem qualitativa, desenvolvido por discentes do curso de Enfermagem de uma instituição de ensino superior localizada na região metropolitana de Belém-PA. A experiência ocorreu em um hospital público da mesma região, no setor de Urgências Obstétricas. Inicialmente, foi realizada observação sistemática da rotina assistencial, com o objetivo de identificar fragilidades relacionadas às condutas éticas e às relações interpessoais no ambiente de trabalho. Posteriormente, foi elaborada uma tecnologia digital no formato de site, contendo um instrumento de autoavaliação composto por 11 perguntas, voltadas à ética profissional na assistência ao paciente e na convivência entre membros da equipe de enfermagem. O questionário foi aplicado a profissionais atuantes no setor, isentos de coleta de dados sensíveis, selecionados conforme disponibilidade durante o período de coleta. Após a aplicação, os dados obtidos foram organizados e analisados de forma descritiva, permitindo a 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identificação de potencialidades e fragilidades nas práticas éticas. Com base nos resultados, foi desenvolvida uma tecnologia educativa direcionada ao fortalecimento do conhecimento sobre ética profissional e à promoção de condutas que favoreçam um ambiente de trabalho mais colaborativo e seguro. Para fundamentação teórica, realizou-se uma Revisão Integrativa da Literatura na Biblioteca Virtual em Saúde (BVS), utilizando as bases de dados LILACS, MEDLINE e SciELO, com descritores relacionados à ética profissional, enfermagem e gerenciamento da prática profissional. </w:t>
      </w:r>
      <w:r w:rsidR="003A34A5" w:rsidRPr="003A3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RESULTADOS/IMPACTOS: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estudo foi realizado no setor de Urgências Obstétricas, com participação de 6 profissionais de enfermagem, sendo 2 enfermeiros e 4 técnicos de enfermagem. Os resultados da aplicação do questionário demonstram elevado desempenho nos itens relacionados à comunicação e respeito ao paciente, com</w:t>
      </w:r>
      <w:r w:rsid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percentuais entre 83,3% e 100%, destacando-se a oportunidade </w:t>
      </w:r>
      <w:proofErr w:type="gramStart"/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proofErr w:type="gramEnd"/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paciente tirar dúvidas sobre o tratamento (100%) e a manutenção do sigilo profissional (83,3%). Em contrapartida, os menores índices foram identificados em aspectos de colaboração e relações interpessoais na equipe, como colaboração entre profissionais (66,7%) e a ausência de comentários negativos no ambiente de trabalho (50%). </w:t>
      </w:r>
      <w:r w:rsidR="003A34A5" w:rsidRPr="003A3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DISCUSSÃO: 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>A comunicação ética estruturada contribui para a melhoria da tomada de decisão na prática assistencial, e reforça a importância de um diálogo claro entre profissional e paciente.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 resultados evidenciam alta adequação ética, com destaque para o esclarecimento de dúvidas, sigilo das informações e explicação prévia de procedimentos, indicando consolidação das práticas éticas na relação profissional–paciente, especialmente quanto ao direito à informação e à confidencialidade. Além disso, a comunicação clara e centrada no paciente está diretamente associada à maior satisfação e confiança no serviço de saúde.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>, estando as falhas no processo de comunicação diretamente associadas à ocorrência de eventos adversos.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 resultados do instrumento aplicado revelam menores percentuais nas questões relacionadas à convivência entre profissionais, como colaboração, respeito no ambiente de trabalho e resolução de conflitos, indicando fragilidades éticas nas relações interpessoais da equipe. Essas lacunas podem comprometer o trabalho em equipe e impactar negativamente a qualidade da assistência, sendo associadas a fatores como comunicação ineficaz, relações hierárquicas e falta de respeito entre profissionais.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9 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> Outrossim, os índices equivalentes a prática da responsabilidade e da comunicação interprofissional são variados, como a exemplo da responsabilização profissional ao cometer erros  (75%), da comunicação interprofissional sobre a mudança no estado do paciente (83,3%) e da resolução de conflitos de forma respeitosa (70%), que indicam que os profissionais dessa instituição apresentam um panorama positivo no que se refere à cultura da segurança do paciente e à postura ética profissional, contribuindo para um ambiente de trabalho mais colaborativo, além de destacar que a comunicação efetiva entre equipes de profissionais é um elemento importante para o ambiente de trabalho, especialmente no contexto hospitalar, no qual decisões ágeis e precisas são indispensáveis para assegurar a segurança do paciente e qualidade da assistência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10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34A5" w:rsidRPr="003A3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CONCLUSÃO/LIÇÕES APRENDIDAS: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 achados reforçam que a ética não se limita ao cumprimento normativo, mas envolve atitudes diárias, comunicação respeitosa e fortalecimento do trabalho em equipe. Assim, torna-se essencial investir em ações institucionais que favoreçam ambientes de trabalho mais saudáveis, incentivem o diálogo, a cooperação e promovam espaços de reflexão crítica 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sobre condutas profissionais. A construção de estratégias metodológicas que viabilizem esses espaços de formação é </w:t>
      </w:r>
      <w:proofErr w:type="gramStart"/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>essenciais</w:t>
      </w:r>
      <w:proofErr w:type="gramEnd"/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contexto da saúde. </w:t>
      </w:r>
      <w:r w:rsidR="003A34A5" w:rsidRPr="003A3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CONTRIBUIÇÕES PARA A ENFERMAGEM: </w:t>
      </w:r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aplicação de instrumentos destinados à autoavaliação contribui para a enfermagem ao </w:t>
      </w:r>
      <w:proofErr w:type="spellStart"/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>fornecer</w:t>
      </w:r>
      <w:proofErr w:type="spellEnd"/>
      <w:r w:rsidR="003A34A5" w:rsidRPr="003A34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ferramentas práticas de identificação de fragilidades e potencialidades no exercício profissional. Tais instrumentos apoiam gestores e instituições na elaboração de estratégias educativas e interventivas direcionadas à melhoria e qualidade do serviço de saúde e ao tratamento da população, como modo de viabilizar a assistência segura.</w:t>
      </w:r>
    </w:p>
    <w:p w14:paraId="2E76E4B6" w14:textId="77777777" w:rsidR="00FC6C12" w:rsidRDefault="00FC6C12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30D503" w14:textId="3563B7B6" w:rsidR="00FC6C12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Descritores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ID): </w:t>
      </w:r>
      <w:r w:rsidR="00274B5B" w:rsidRPr="00274B5B">
        <w:rPr>
          <w:rFonts w:ascii="Times New Roman" w:eastAsia="Times New Roman" w:hAnsi="Times New Roman" w:cs="Times New Roman"/>
          <w:color w:val="000000"/>
          <w:sz w:val="24"/>
          <w:szCs w:val="24"/>
        </w:rPr>
        <w:t>Ética Profissional – D004995;</w:t>
      </w:r>
      <w:r w:rsidR="00B630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4B5B" w:rsidRPr="00274B5B">
        <w:rPr>
          <w:rFonts w:ascii="Times New Roman" w:eastAsia="Times New Roman" w:hAnsi="Times New Roman" w:cs="Times New Roman"/>
          <w:color w:val="000000"/>
          <w:sz w:val="24"/>
          <w:szCs w:val="24"/>
        </w:rPr>
        <w:t>Gerenciamento da Prática Profissional – D020399; Gestão de Recursos Humanos – D010559.</w:t>
      </w:r>
    </w:p>
    <w:p w14:paraId="4668A516" w14:textId="5238CEE0" w:rsidR="00FC6C12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Modalidade: estudo original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  )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relato de experiência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r w:rsidR="000E3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) revisão da literatura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  )</w:t>
      </w:r>
      <w:proofErr w:type="gramEnd"/>
    </w:p>
    <w:p w14:paraId="37922465" w14:textId="154FE966" w:rsidR="00FC6C12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Eixo Temático: </w:t>
      </w:r>
      <w:r w:rsidR="009531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</w:p>
    <w:p w14:paraId="7C8B03A4" w14:textId="77777777" w:rsidR="00FC6C12" w:rsidRDefault="00FC6C12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179952" w14:textId="77777777" w:rsidR="00FC6C12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REFERÊNCIAS: </w:t>
      </w:r>
    </w:p>
    <w:p w14:paraId="47E852AE" w14:textId="15F42FE5" w:rsidR="000E315C" w:rsidRPr="000E315C" w:rsidRDefault="000E315C" w:rsidP="00B630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Siqueira et al. Competências éticas da enfermagem na APS: perspectivas da prática avançada. Acta Paul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Enferm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>. 2025;38. doi:10.37689/acta-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ape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>/2025SPE25p.</w:t>
      </w:r>
    </w:p>
    <w:p w14:paraId="682DB590" w14:textId="1BBF5387" w:rsidR="000E315C" w:rsidRPr="000E315C" w:rsidRDefault="000E315C" w:rsidP="00B630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1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315C">
        <w:rPr>
          <w:rFonts w:ascii="Times New Roman" w:eastAsia="Times New Roman" w:hAnsi="Times New Roman" w:cs="Times New Roman"/>
          <w:sz w:val="24"/>
          <w:szCs w:val="24"/>
        </w:rPr>
        <w:t>Brasil. Conselho Federal de Enfermagem. Resolução Cofen nº 564/2017: aprova o novo Código de Ética dos Profissionais de Enfermagem. Brasília: COFEN; 2017. Disponível em:</w:t>
      </w:r>
      <w:hyperlink r:id="rId7" w:history="1">
        <w:r w:rsidRPr="000E315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https://www.cofen.gov.br/resolucao-cofen-no-5642017/</w:t>
        </w:r>
      </w:hyperlink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. Acesso em: 22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abr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2026.</w:t>
      </w:r>
    </w:p>
    <w:p w14:paraId="2D29C644" w14:textId="79DC83F5" w:rsidR="000E315C" w:rsidRPr="000E315C" w:rsidRDefault="000E315C" w:rsidP="00B630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3 Faria et al. Ambiente ético e assistência de enfermagem na atenção primária à saúde: uma análise qualitativa.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Enferm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Bras. 2025;24(5):2826–2836. doi:10.62827/</w:t>
      </w:r>
      <w:proofErr w:type="gramStart"/>
      <w:r w:rsidRPr="000E315C">
        <w:rPr>
          <w:rFonts w:ascii="Times New Roman" w:eastAsia="Times New Roman" w:hAnsi="Times New Roman" w:cs="Times New Roman"/>
          <w:sz w:val="24"/>
          <w:szCs w:val="24"/>
        </w:rPr>
        <w:t>eb.v</w:t>
      </w:r>
      <w:proofErr w:type="gramEnd"/>
      <w:r w:rsidRPr="000E315C">
        <w:rPr>
          <w:rFonts w:ascii="Times New Roman" w:eastAsia="Times New Roman" w:hAnsi="Times New Roman" w:cs="Times New Roman"/>
          <w:sz w:val="24"/>
          <w:szCs w:val="24"/>
        </w:rPr>
        <w:t>24i5.4099.</w:t>
      </w:r>
    </w:p>
    <w:p w14:paraId="62FCD4ED" w14:textId="53DE3377" w:rsidR="000E315C" w:rsidRPr="000E315C" w:rsidRDefault="000E315C" w:rsidP="00B630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4 Menegaz et al. Competências do enfermeiro hospitalar: convergências e divergências de avaliação. Acta Paul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Enferm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>. 2024;37:eAPE001645. doi:10.37689/acta-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ape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>/2024AO00001645.</w:t>
      </w:r>
    </w:p>
    <w:p w14:paraId="3BBB8AA1" w14:textId="4E56FAB3" w:rsidR="000E315C" w:rsidRPr="000E315C" w:rsidRDefault="000E315C" w:rsidP="00B630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5 Bordignon M, Monteiro MI. Violência no trabalho da enfermagem: um olhar às consequências.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Rev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Bras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Enferm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>. 2016;69(5). doi:10.1590/0034-7167-2015-0133.</w:t>
      </w:r>
    </w:p>
    <w:p w14:paraId="448F2228" w14:textId="19AAF3C8" w:rsidR="000E315C" w:rsidRPr="000E315C" w:rsidRDefault="000E315C" w:rsidP="00B630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6 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Margareta</w:t>
      </w:r>
      <w:proofErr w:type="spellEnd"/>
      <w:proofErr w:type="gram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B, Ulf I, C FG. Efeitos da comunicação ética na atenção à saúde: um ensaio clínico randomizado por conglomerados. </w:t>
      </w:r>
      <w:r w:rsidRPr="000E315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BMC Med </w:t>
      </w:r>
      <w:proofErr w:type="spellStart"/>
      <w:r w:rsidRPr="000E315C">
        <w:rPr>
          <w:rFonts w:ascii="Times New Roman" w:eastAsia="Times New Roman" w:hAnsi="Times New Roman" w:cs="Times New Roman"/>
          <w:i/>
          <w:iCs/>
          <w:sz w:val="24"/>
          <w:szCs w:val="24"/>
        </w:rPr>
        <w:t>Ethics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>. 2025;26(1):106. doi:10.1186/s12910-025-01270-w.</w:t>
      </w:r>
    </w:p>
    <w:p w14:paraId="19239358" w14:textId="1E0AA6BA" w:rsidR="000E315C" w:rsidRPr="000E315C" w:rsidRDefault="000E315C" w:rsidP="00B630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Sigmon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LB, Reis PJ,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Woodard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EK,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Hinkle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JF. Percepções de pacientes e familiares sobre o trabalho em equipe colaborativo interprofissional: uma revisão integrativa. </w:t>
      </w:r>
      <w:r w:rsidRPr="000E315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 Clin </w:t>
      </w:r>
      <w:proofErr w:type="spellStart"/>
      <w:r w:rsidRPr="000E315C">
        <w:rPr>
          <w:rFonts w:ascii="Times New Roman" w:eastAsia="Times New Roman" w:hAnsi="Times New Roman" w:cs="Times New Roman"/>
          <w:i/>
          <w:iCs/>
          <w:sz w:val="24"/>
          <w:szCs w:val="24"/>
        </w:rPr>
        <w:t>Nurs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>. 2023;32(9-10):2102-2113. doi:10.1111/jocn.16295.</w:t>
      </w:r>
    </w:p>
    <w:p w14:paraId="7BD1A4DF" w14:textId="7C0D1C7B" w:rsidR="000E315C" w:rsidRPr="000E315C" w:rsidRDefault="000E315C" w:rsidP="00B630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Heier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L,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Schellenberger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B,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Schippers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A,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Nies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S,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Geiser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F,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Ernstmann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N. Treinamento de habilidades de comunicação interprofissional para melhorar a comunicação de erros </w:t>
      </w:r>
      <w:r w:rsidRPr="000E315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entre estudantes de medicina e estagiários de enfermagem: estudo piloto quase experimental. </w:t>
      </w:r>
      <w:r w:rsidRPr="000E315C">
        <w:rPr>
          <w:rFonts w:ascii="Times New Roman" w:eastAsia="Times New Roman" w:hAnsi="Times New Roman" w:cs="Times New Roman"/>
          <w:i/>
          <w:iCs/>
          <w:sz w:val="24"/>
          <w:szCs w:val="24"/>
        </w:rPr>
        <w:t>BMC Med Educ</w:t>
      </w:r>
      <w:r w:rsidRPr="000E315C">
        <w:rPr>
          <w:rFonts w:ascii="Times New Roman" w:eastAsia="Times New Roman" w:hAnsi="Times New Roman" w:cs="Times New Roman"/>
          <w:sz w:val="24"/>
          <w:szCs w:val="24"/>
        </w:rPr>
        <w:t>. 2024;24(1):10. doi:10.1186/s12909-023-04997-5.</w:t>
      </w:r>
    </w:p>
    <w:p w14:paraId="3061CA9D" w14:textId="5F66BEAB" w:rsidR="00FC6C12" w:rsidRPr="00B63001" w:rsidRDefault="000E315C" w:rsidP="00B630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Moloro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AH,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Sabo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KG,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Lahole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BK,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Wengoro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BF, Mare KU. Prevalência da colaboração interprofissional no cuidado ao paciente e fatores associados entre enfermeiros e médicos na Etiópia, 2024: uma revisão sistemática e meta-análise. </w:t>
      </w:r>
      <w:r w:rsidRPr="000E315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BMC </w:t>
      </w:r>
      <w:proofErr w:type="spellStart"/>
      <w:r w:rsidRPr="000E315C">
        <w:rPr>
          <w:rFonts w:ascii="Times New Roman" w:eastAsia="Times New Roman" w:hAnsi="Times New Roman" w:cs="Times New Roman"/>
          <w:i/>
          <w:iCs/>
          <w:sz w:val="24"/>
          <w:szCs w:val="24"/>
        </w:rPr>
        <w:t>Nurs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>. 2025;24(1):210. doi:10.1186/s12912-025-02847-x.</w:t>
      </w:r>
      <w:r w:rsidRPr="000E315C">
        <w:rPr>
          <w:rFonts w:ascii="Times New Roman" w:eastAsia="Times New Roman" w:hAnsi="Times New Roman" w:cs="Times New Roman"/>
          <w:sz w:val="24"/>
          <w:szCs w:val="24"/>
        </w:rPr>
        <w:br/>
        <w:t xml:space="preserve">10 DIAZ, C. M.; EGIDE, A.; BERRY, A.; RAFFERTY, M. et. al.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Defining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conditions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effective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interdisciplinary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team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communication in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open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surgical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intensive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unit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: a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qualitative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 xml:space="preserve">. BJM Open. 2023;13(12). </w:t>
      </w:r>
      <w:proofErr w:type="spellStart"/>
      <w:r w:rsidRPr="000E315C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 w:rsidRPr="000E315C">
        <w:rPr>
          <w:rFonts w:ascii="Times New Roman" w:eastAsia="Times New Roman" w:hAnsi="Times New Roman" w:cs="Times New Roman"/>
          <w:sz w:val="24"/>
          <w:szCs w:val="24"/>
        </w:rPr>
        <w:t>: 10.1136/bmjopen-2023-075470</w:t>
      </w:r>
      <w:r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A6AB33" w14:textId="77777777" w:rsidR="00FC6C12" w:rsidRDefault="00FC6C12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0285EA" w14:textId="77777777" w:rsidR="00FC6C12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14:paraId="5ED8394C" w14:textId="5C6F5CCF" w:rsidR="00FC6C12" w:rsidRDefault="00000000" w:rsidP="000E315C">
      <w:p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0E315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="000E315C"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Graduand</w:t>
      </w:r>
      <w:r w:rsid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0E315C"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enfermagem. Enfermagem. Universidade do Estado do Pará. </w:t>
      </w:r>
    </w:p>
    <w:p w14:paraId="281B09E7" w14:textId="2A4CAFF2" w:rsidR="00FC6C12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315C"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Graduando em enfermagem. Enfermagem. Universidade do Estado do Pará.</w:t>
      </w:r>
    </w:p>
    <w:p w14:paraId="7CF876B7" w14:textId="130AD690" w:rsidR="000E315C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3 </w:t>
      </w:r>
      <w:r w:rsidR="000E315C"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Graduand</w:t>
      </w:r>
      <w:r w:rsid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0E315C"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enfermagem. Enfermagem. Universidade do Estado do Pará.</w:t>
      </w:r>
    </w:p>
    <w:p w14:paraId="6974E16D" w14:textId="4125EC7E" w:rsidR="000E315C" w:rsidRDefault="000E315C" w:rsidP="000E315C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4 </w:t>
      </w:r>
      <w:r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Graduand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enfermagem. Enfermagem. Universidade do Estado do Pará.</w:t>
      </w:r>
    </w:p>
    <w:p w14:paraId="43F8F162" w14:textId="627FE57D" w:rsidR="000E315C" w:rsidRDefault="000E315C" w:rsidP="000E315C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5 </w:t>
      </w:r>
      <w:r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Graduand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enfermagem. Enfermagem. Universidade do Estado do Pará.</w:t>
      </w:r>
    </w:p>
    <w:p w14:paraId="2E9D73EC" w14:textId="431817B3" w:rsidR="000E315C" w:rsidRDefault="000E315C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6 </w:t>
      </w:r>
      <w:r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Graduand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enfermagem. Enfermagem. Universidade do Estado do Pará.</w:t>
      </w:r>
    </w:p>
    <w:p w14:paraId="2EE047F2" w14:textId="71DCB687" w:rsidR="00FC6C12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7 </w:t>
      </w:r>
      <w:r w:rsidR="000E315C"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Mestre em Enfermagem. Enferm</w:t>
      </w:r>
      <w:r w:rsid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eira</w:t>
      </w:r>
      <w:r w:rsidR="000E315C" w:rsidRPr="000E315C">
        <w:rPr>
          <w:rFonts w:ascii="Times New Roman" w:eastAsia="Times New Roman" w:hAnsi="Times New Roman" w:cs="Times New Roman"/>
          <w:color w:val="000000"/>
          <w:sz w:val="24"/>
          <w:szCs w:val="24"/>
        </w:rPr>
        <w:t>. Universidade do Estado do Pará.</w:t>
      </w:r>
    </w:p>
    <w:p w14:paraId="4171A8BE" w14:textId="1AA26974" w:rsidR="00FC6C12" w:rsidRPr="00274B5B" w:rsidRDefault="00FC6C1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19B01D" w14:textId="77777777" w:rsidR="009531AD" w:rsidRPr="00274B5B" w:rsidRDefault="009531A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531AD" w:rsidRPr="00274B5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9E5FE" w14:textId="77777777" w:rsidR="001374AC" w:rsidRDefault="001374AC">
      <w:pPr>
        <w:spacing w:before="0" w:after="0" w:line="240" w:lineRule="auto"/>
      </w:pPr>
      <w:r>
        <w:separator/>
      </w:r>
    </w:p>
  </w:endnote>
  <w:endnote w:type="continuationSeparator" w:id="0">
    <w:p w14:paraId="458ECCB8" w14:textId="77777777" w:rsidR="001374AC" w:rsidRDefault="001374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62F3052-81B1-4DF6-9D53-49C77A1A08BB}"/>
    <w:embedItalic r:id="rId2" w:fontKey="{CA023859-F78C-488E-93C9-214830FE509F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B86EA22-616F-4EA3-B3E7-3E794B0BA4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60D958A-10E9-4966-8A88-B373D7EA1B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AD1AA" w14:textId="77777777" w:rsidR="00FC6C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1FAAC6E" wp14:editId="58B5A511">
          <wp:extent cx="5424788" cy="79349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03A5BCC" w14:textId="77777777" w:rsidR="00FC6C12" w:rsidRDefault="00FC6C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D9DBE" w14:textId="77777777" w:rsidR="001374AC" w:rsidRDefault="001374AC">
      <w:pPr>
        <w:spacing w:before="0" w:after="0" w:line="240" w:lineRule="auto"/>
      </w:pPr>
      <w:r>
        <w:separator/>
      </w:r>
    </w:p>
  </w:footnote>
  <w:footnote w:type="continuationSeparator" w:id="0">
    <w:p w14:paraId="2B0784A6" w14:textId="77777777" w:rsidR="001374AC" w:rsidRDefault="001374A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16D9" w14:textId="77777777" w:rsidR="00FC6C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DA593FA" wp14:editId="242A9DF6">
          <wp:extent cx="5439886" cy="90617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C12"/>
    <w:rsid w:val="0002641B"/>
    <w:rsid w:val="000E315C"/>
    <w:rsid w:val="001374AC"/>
    <w:rsid w:val="00191983"/>
    <w:rsid w:val="00274B5B"/>
    <w:rsid w:val="002D1FAE"/>
    <w:rsid w:val="00316667"/>
    <w:rsid w:val="003A34A5"/>
    <w:rsid w:val="006602A8"/>
    <w:rsid w:val="009531AD"/>
    <w:rsid w:val="00B63001"/>
    <w:rsid w:val="00C4100A"/>
    <w:rsid w:val="00CD6690"/>
    <w:rsid w:val="00D369AF"/>
    <w:rsid w:val="00D569D8"/>
    <w:rsid w:val="00DA774D"/>
    <w:rsid w:val="00E31F96"/>
    <w:rsid w:val="00EE02CA"/>
    <w:rsid w:val="00FC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38AF1C"/>
  <w15:docId w15:val="{3D7B7470-5863-4CB7-9B82-71C0BAC9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t-BR" w:eastAsia="pt-B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0E315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E31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3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fen.gov.br/resolucao-cofen-no-5642017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A942B-7413-478C-AB16-9336672C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1680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</dc:creator>
  <cp:lastModifiedBy>stefanie barbosa da silva</cp:lastModifiedBy>
  <cp:revision>2</cp:revision>
  <dcterms:created xsi:type="dcterms:W3CDTF">2026-05-05T10:44:00Z</dcterms:created>
  <dcterms:modified xsi:type="dcterms:W3CDTF">2026-05-05T10:44:00Z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2026-05-05T00:31:14Z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0e70426f-7f4e-47e9-9dcf-4f33a4751f2a</vt:lpwstr>
  </property>
  <property fmtid="{D5CDD505-2E9C-101B-9397-08002B2CF9AE}" pid="7" name="MSIP_Label_defa4170-0d19-0005-0004-bc88714345d2_ActionId">
    <vt:lpwstr>103d93cf-2bae-4745-b67f-0684f1b1a4ef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