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MAPEAMENTO DAS PRÁTICAS DE EQUIDADE NO SUS DE MACEIÓ: UMA EXPERIÊNCIA NA FORMAÇÃO MÉDICA</w:t>
      </w:r>
    </w:p>
    <w:p w:rsidR="00000000" w:rsidDel="00000000" w:rsidP="00000000" w:rsidRDefault="00000000" w:rsidRPr="00000000" w14:paraId="00000002">
      <w:pPr>
        <w:spacing w:after="160" w:line="240" w:lineRule="auto"/>
        <w:rPr>
          <w:b w:val="1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Ana Luiza Mascarenhas de Oliveira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b w:val="1"/>
          <w:sz w:val="20"/>
          <w:szCs w:val="20"/>
          <w:rtl w:val="0"/>
        </w:rPr>
        <w:t xml:space="preserve">; </w:t>
      </w:r>
      <w:r w:rsidDel="00000000" w:rsidR="00000000" w:rsidRPr="00000000">
        <w:rPr>
          <w:sz w:val="20"/>
          <w:szCs w:val="20"/>
          <w:rtl w:val="0"/>
        </w:rPr>
        <w:t xml:space="preserve">Luiz Carlos Lopes de Carvalho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sz w:val="20"/>
          <w:szCs w:val="20"/>
          <w:rtl w:val="0"/>
        </w:rPr>
        <w:t xml:space="preserve">; Camila de Barros Prado Moura Sales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vertAlign w:val="superscript"/>
          <w:rtl w:val="0"/>
        </w:rPr>
        <w:t xml:space="preserve">1,2,3</w:t>
      </w:r>
      <w:r w:rsidDel="00000000" w:rsidR="00000000" w:rsidRPr="00000000">
        <w:rPr>
          <w:sz w:val="18"/>
          <w:szCs w:val="18"/>
          <w:rtl w:val="0"/>
        </w:rPr>
        <w:t xml:space="preserve">Centro Universitário CESMAC;</w:t>
      </w:r>
      <w:r w:rsidDel="00000000" w:rsidR="00000000" w:rsidRPr="00000000">
        <w:rPr>
          <w:sz w:val="18"/>
          <w:szCs w:val="18"/>
          <w:vertAlign w:val="superscript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*analulumascarenhas@gmail.com</w:t>
      </w:r>
    </w:p>
    <w:p w:rsidR="00000000" w:rsidDel="00000000" w:rsidP="00000000" w:rsidRDefault="00000000" w:rsidRPr="00000000" w14:paraId="00000004">
      <w:pPr>
        <w:spacing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40" w:lineRule="auto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Introdução:</w:t>
      </w:r>
      <w:r w:rsidDel="00000000" w:rsidR="00000000" w:rsidRPr="00000000">
        <w:rPr>
          <w:sz w:val="22"/>
          <w:szCs w:val="22"/>
          <w:rtl w:val="0"/>
        </w:rPr>
        <w:t xml:space="preserve"> A equidade constitui um dos pilares fundamentais do Sistema Único de Saúde (SUS), orientando práticas que reconhecem e enfrentam desigualdades estruturais nos territórios e serviços de saúde. Nesse contexto, o PET-Saúde Equidade em Maceió reuniu estudantes e tutores em um processo de mapeamento de experiências de equidade vivenciadas por profissionais e gestores em diferentes unidades e setores da rede municipal de saúde.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Objetivos: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Relatar a experiência de estudantes de medicina ao mapear setores da saúde de Maceió quanto às práticas de equidade.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Metodologia:</w:t>
      </w:r>
      <w:r w:rsidDel="00000000" w:rsidR="00000000" w:rsidRPr="00000000">
        <w:rPr>
          <w:sz w:val="22"/>
          <w:szCs w:val="22"/>
          <w:rtl w:val="0"/>
        </w:rPr>
        <w:t xml:space="preserve"> Entre agosto de 2024 e março de 2025, estudantes e tutores articularam visitas as unidades dos 3º, 4º e 8º distritos sanitários, além de 33 setores da gestão. O mapeamento foi orientado pelos eixos: gênero, raça/etnia, deficiência, pessoa idosa, saúde mental e maternagem, e validado por meio de oficinas coletivas. Como produto, elaborou-se uma cartilha técnico-pedagógica destinada a subsidiar a gestão e qualificar o trabalho nos serviços.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Resultados: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A experiência evidenciou práticas pontuais e dificuldades na institucionalização da equidade. Houve destaque para iniciativas nos eixos saúde mental, maternagem e gênero, enquanto raça/etnia apresentou maiores lacunas, sem registros de ações nos distritos. O processo favoreceu a aproximação com a realidade dos serviços e possibilitou aos estudantes refletirem criticamente sobre os desafios de integrar a equidade às práticas em saúde.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Conclusões:</w:t>
      </w:r>
      <w:r w:rsidDel="00000000" w:rsidR="00000000" w:rsidRPr="00000000">
        <w:rPr>
          <w:sz w:val="22"/>
          <w:szCs w:val="22"/>
          <w:rtl w:val="0"/>
        </w:rPr>
        <w:t xml:space="preserve"> O mapeamento reafirmou a equidade como princípio estruturante do SUS, contribuindo para a formação dos futuros profissionais do SUS,  fortalecimento da gestão e para o enfrentamento de desigualdades no âmbito da saúde municipal.</w:t>
      </w:r>
    </w:p>
    <w:p w:rsidR="00000000" w:rsidDel="00000000" w:rsidP="00000000" w:rsidRDefault="00000000" w:rsidRPr="00000000" w14:paraId="00000006">
      <w:pPr>
        <w:spacing w:after="160" w:line="240" w:lineRule="auto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Palavras-chave: </w:t>
      </w:r>
      <w:r w:rsidDel="00000000" w:rsidR="00000000" w:rsidRPr="00000000">
        <w:rPr>
          <w:sz w:val="22"/>
          <w:szCs w:val="22"/>
          <w:rtl w:val="0"/>
        </w:rPr>
        <w:t xml:space="preserve">Equidade. Mapeamento. PET-Saúde.</w:t>
      </w:r>
    </w:p>
    <w:p w:rsidR="00000000" w:rsidDel="00000000" w:rsidP="00000000" w:rsidRDefault="00000000" w:rsidRPr="00000000" w14:paraId="00000007">
      <w:pPr>
        <w:spacing w:after="160" w:line="240" w:lineRule="auto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Apoio Financeiro:</w:t>
      </w: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Ministério da Saúde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REFERÊNCIAS BIBLIOGRÁFICAS</w:t>
      </w:r>
    </w:p>
    <w:p w:rsidR="00000000" w:rsidDel="00000000" w:rsidP="00000000" w:rsidRDefault="00000000" w:rsidRPr="00000000" w14:paraId="0000000A">
      <w:pPr>
        <w:spacing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BRASIL. Ministério da Saúde. </w:t>
      </w:r>
      <w:r w:rsidDel="00000000" w:rsidR="00000000" w:rsidRPr="00000000">
        <w:rPr>
          <w:b w:val="1"/>
          <w:sz w:val="20"/>
          <w:szCs w:val="20"/>
          <w:rtl w:val="0"/>
        </w:rPr>
        <w:t xml:space="preserve">Política Nacional de Educação Permanente em Saúde: o que se tem produzido para o seu fortalecimento?</w:t>
      </w:r>
      <w:r w:rsidDel="00000000" w:rsidR="00000000" w:rsidRPr="00000000">
        <w:rPr>
          <w:sz w:val="20"/>
          <w:szCs w:val="20"/>
          <w:rtl w:val="0"/>
        </w:rPr>
        <w:t xml:space="preserve"> Brasília: Ministério da Saúde, 2018.</w:t>
      </w:r>
    </w:p>
    <w:p w:rsidR="00000000" w:rsidDel="00000000" w:rsidP="00000000" w:rsidRDefault="00000000" w:rsidRPr="00000000" w14:paraId="0000000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BRASIL. Ministério da Saúde. </w:t>
      </w:r>
      <w:r w:rsidDel="00000000" w:rsidR="00000000" w:rsidRPr="00000000">
        <w:rPr>
          <w:b w:val="1"/>
          <w:sz w:val="20"/>
          <w:szCs w:val="20"/>
          <w:rtl w:val="0"/>
        </w:rPr>
        <w:t xml:space="preserve">Política Nacional de Saúde Integral da População Negra: uma política para o SUS</w:t>
      </w:r>
      <w:r w:rsidDel="00000000" w:rsidR="00000000" w:rsidRPr="00000000">
        <w:rPr>
          <w:sz w:val="20"/>
          <w:szCs w:val="20"/>
          <w:rtl w:val="0"/>
        </w:rPr>
        <w:t xml:space="preserve">. 3. ed. Brasília: Ministério da Saúde, 2017.</w:t>
      </w:r>
    </w:p>
    <w:p w:rsidR="00000000" w:rsidDel="00000000" w:rsidP="00000000" w:rsidRDefault="00000000" w:rsidRPr="00000000" w14:paraId="0000000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6" w:w="8419" w:orient="portrait"/>
      <w:pgMar w:bottom="567" w:top="567" w:left="567" w:right="567" w:header="284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1"/>
      <w:tblW w:w="6705.0" w:type="dxa"/>
      <w:jc w:val="left"/>
      <w:tblLayout w:type="fixed"/>
      <w:tblLook w:val="0600"/>
    </w:tblPr>
    <w:tblGrid>
      <w:gridCol w:w="2235"/>
      <w:gridCol w:w="2235"/>
      <w:gridCol w:w="2235"/>
      <w:tblGridChange w:id="0">
        <w:tblGrid>
          <w:gridCol w:w="2235"/>
          <w:gridCol w:w="2235"/>
          <w:gridCol w:w="2235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1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-115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295275</wp:posOffset>
                </wp:positionH>
                <wp:positionV relativeFrom="paragraph">
                  <wp:posOffset>0</wp:posOffset>
                </wp:positionV>
                <wp:extent cx="741680" cy="695325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14678" l="0" r="0" t="1834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680" cy="695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1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-115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line="276" w:lineRule="auto"/>
      <w:jc w:val="center"/>
      <w:rPr>
        <w:sz w:val="12"/>
        <w:szCs w:val="12"/>
      </w:rPr>
    </w:pPr>
    <w:r w:rsidDel="00000000" w:rsidR="00000000" w:rsidRPr="00000000">
      <w:rPr>
        <w:sz w:val="12"/>
        <w:szCs w:val="12"/>
        <w:rtl w:val="0"/>
      </w:rPr>
      <w:t xml:space="preserve">Educação em Saúde: Percepção de Profissionais atuantes na Atenção Básica à Saúde de um município paraibano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  <w:jc w:val="left"/>
    </w:pPr>
    <w:rPr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  <w:jc w:val="left"/>
    </w:pPr>
    <w:rPr>
      <w:rFonts w:ascii="Calibri" w:cs="Calibri" w:eastAsia="Calibri" w:hAnsi="Calibri"/>
      <w:i w:val="1"/>
      <w:color w:val="2e74b5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  <w:jc w:val="left"/>
    </w:pPr>
    <w:rPr>
      <w:rFonts w:ascii="Calibri" w:cs="Calibri" w:eastAsia="Calibri" w:hAnsi="Calibri"/>
      <w:color w:val="2e74b5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  <w:jc w:val="left"/>
    </w:pPr>
    <w:rPr>
      <w:rFonts w:ascii="Calibri" w:cs="Calibri" w:eastAsia="Calibri" w:hAnsi="Calibri"/>
      <w:color w:val="1f4d78"/>
    </w:rPr>
  </w:style>
  <w:style w:type="paragraph" w:styleId="Title">
    <w:name w:val="Title"/>
    <w:basedOn w:val="Normal"/>
    <w:next w:val="Normal"/>
    <w:pPr>
      <w:spacing w:line="240" w:lineRule="auto"/>
      <w:jc w:val="center"/>
    </w:pPr>
    <w:rPr>
      <w:rFonts w:ascii="Times New Roman" w:cs="Times New Roman" w:eastAsia="Times New Roman" w:hAnsi="Times New Roman"/>
      <w:b w:val="1"/>
    </w:rPr>
  </w:style>
  <w:style w:type="paragraph" w:styleId="Subtitle">
    <w:name w:val="Subtitle"/>
    <w:basedOn w:val="Normal"/>
    <w:next w:val="Normal"/>
    <w:pPr>
      <w:spacing w:after="60" w:line="240" w:lineRule="auto"/>
      <w:jc w:val="center"/>
    </w:pPr>
    <w:rPr>
      <w:rFonts w:ascii="Calibri" w:cs="Calibri" w:eastAsia="Calibri" w:hAnsi="Calibri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