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</w:rPr>
      </w:pPr>
      <w:bookmarkStart w:colFirst="0" w:colLast="0" w:name="_heading=h.aag80ocwhcx7" w:id="0"/>
      <w:bookmarkEnd w:id="0"/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CRÔNICAS DA ADOLESCÊNCIA: DA ESCRITA TERAPÊUTICA </w:t>
        <w:tab/>
        <w:t xml:space="preserve">À PRÁTICA DA PRODUÇÃO NARRATIVA EM UMA ESCOLA DA REDE ESTADUAL DE MANACAPURU-AM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Joseia da Silva Reis – SEDUC/AM – joseia.reis@prof.am.gov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Jhenyfer Sampaio da Silva – SEDUC/AM – Ensino Fundamental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  Beatriz do Nascimento Frazão – SEDUC/AM – Ensino Fundamental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Maria Eduarda Bacelar de Souza – SEDUC/AM – Ensino Fundamental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Isaias Brito da Silva – SEDUC/AM – Ensino Fundamental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01 1- Inovação, Educação Especial e Inclusão em contextos amazônicos: explorar metodologias; processos educativos inovadores; experiências, práticas; tecnologias em espaços educacionais amazônicos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Esse projeto de pesquisa surgiu a partir das dificuldades enfrentadas com a escrita nas aulas de língua portuguesa com os alunos do 6º e 7º ano dos Anos Finais do Ensino Fundamental na Escola Estadual Carlos Pinho, em Manacapuru/AM. Os autores escolhidos para basear a pesquisa foram Ferreiro &amp; Teberosky (1999), Freire (1997) e Piaget (2013). Essa pesquisa bibliográfica, de abordagem qualitativa, teve como objetivo geral analisar os ensinamentos a partir das crônicas escritas pelos próprios alunos. Seus objetivos específicos foram os seguintes: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escrever crônicas de diversos tipos;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ii)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analisar as crônicas produzidas pelos estudantes;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iii)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apreciar as crônicas produzidas pelos estudantes do 6º e 7º ano do Ensino Fundamental II. O Projeto seguirá 5 etapas: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a)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Estudo da crônica;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Passo-a-passo da crônica;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Produção da crônica;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Revisão textual; </w:t>
      </w: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Publicação. O trabalho visa formar jovens alunos escritores e futuros autores da Região Amazônica.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 Crônicas da adolescência, escrita terapêutica, produção narrativa.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METODOLOGIA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primeira etapa, baseada nas teorias de “Psicogênese da língua escrita” (1999), fundamentou-se em criar um conhecimento prévio dos alunos frente à pesquisa do gênero crônica e seus diversos tipos, como a crônica narrativa, jornalística, lírica, humorística, histórica, cinematográfica, musical, dentre outras (FERNANDES, 2025; NASCIMENTO, 2021). As crônicas de Clarice Lispector (2018) também foram apresentadas nessa fase. 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segunda etapa baseou-se na apresentação de slides sobre como escrever uma crônica. Já a terceira etapa consistiu em produzir um texto das suas vivências, segundo Freire (1997) a escrita torna-se menos complexa quando se escolhe um tema relacionado às experiências dos alunos. Como afirma Deslandes (2013): “[...] a teoria e a prática devem ser realizadas juntas, pois assim a aprendizagem será mais significativa.</w:t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quarta etapa consistiu em revisar o texto escrito, corrigindo os erros ortográficos de acordo com a Norma Culta Padrão.   Por último, a quinta etapa será a publicação das crônicas no KDP (Kindle Direct Publishing) da Amazon, cuja plataforma de autopublicação permite com que autores publiquem eBooks de forma gratuita.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DISCUSSÃO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Com isso, as aulas tornam-se mais significativas para as vivências dos estudantes, melhorando a afetividade professor-aluno e facilitando a aprendizagem a ser assimilada e acomodada (PIAGET, 2014). Esta plataforma foi escolhida devido seu baixo custo-benefício.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Após a publicação, os alunos, os pais dos alunos e a comunidade escolar poderão ter a oportunidade de adquirir o eBook.  Na Era da Informação e Tecnologia é comum o compartilhar e o vivenciar a vida em plataformas virtuais e redes sociais. Segundo o sociólogo Byung-Chul Han (2018), as mídias digitais transformaram a vida das pessoas, suas percepções, sensações e pensamentos. 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CONCLUSÕES</w:t>
      </w:r>
    </w:p>
    <w:p w:rsidR="00000000" w:rsidDel="00000000" w:rsidP="00000000" w:rsidRDefault="00000000" w:rsidRPr="00000000" w14:paraId="00000018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Os estudantes do 6º e 7º ano podem não só desenvolver sua escrita de forma imaginativa, bem como de forma terapêutica, sendo motivados a continuarem a escrever com a publicação da sua produção escrita. </w:t>
      </w:r>
    </w:p>
    <w:p w:rsidR="00000000" w:rsidDel="00000000" w:rsidP="00000000" w:rsidRDefault="00000000" w:rsidRPr="00000000" w14:paraId="00000019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Como educadora também é muito importante divulgar um trabalho dessa dimensão, principalmente pelo significado na vida de cada estudante que teve a sua crônica selecionada, haja vista que os sentidos dos seus escritos irão poder se perpetuar, e o objetivo deste projeto é formar jovens escritores que futuramente possam representar a Região Amazônica. </w:t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REFERÊNCIAS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DESLANDES, Suely Ferreira.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Pesquisa social: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teoria, método e criatividade. Organização de Cecília de Souza Minayo. 33ª Edição. Petrópolis, RJ: Editora Vozes, 2013.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FERREIRO, Emilia; TEBEROSKY, Ana.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Psicogênese da língua escrita.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1ª Edição. Porto Alegre: Editora Artmed, 1999.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FERNANDES, MÁRCIA.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2f3c"/>
            <w:rtl w:val="0"/>
          </w:rPr>
          <w:t xml:space="preserve">Crônica: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2f3c"/>
            <w:rtl w:val="0"/>
          </w:rPr>
          <w:t xml:space="preserve">características, tipos e exemplos</w:t>
        </w:r>
      </w:hyperlink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. Disponível em: &lt;Htpps: //www.todamateria.com.br/cronica/&gt;. Acesso em: 25 de Ago 2025.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FREIRE, Paulo.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Pedagogia da autonomia: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Saberes necessários à prática educativa. 58ª Edição. São Paulo: Editora Paz &amp; Terra, 1997.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HAN, Byung-Chul.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No enxame: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Perspectivas do digital. 1ª Edição. Editora Vozes, 2018.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LISPECTOR, Clarice.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Todas as crônicas.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Prefácio de Marina Colasanti; organização de Pedro Karp Vasquez; pesquisa textual de Larissa Vaz.1ª Edição. Rio de Janeiro: Editora Rocco, 2018.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NASCIMENTO, Paulo Henrique Marques do.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Vozes sociais em crônicas de alunos do Ensino Fundamental II.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Disponível em: &lt;</w:t>
      </w:r>
      <w:hyperlink r:id="rId9">
        <w:r w:rsidDel="00000000" w:rsidR="00000000" w:rsidRPr="00000000">
          <w:rPr>
            <w:rFonts w:ascii="Arial" w:cs="Arial" w:eastAsia="Arial" w:hAnsi="Arial"/>
            <w:color w:val="002f3c"/>
            <w:rtl w:val="0"/>
          </w:rPr>
          <w:t xml:space="preserve">*6263dissertaa‡aƒo_paulo_henrique_versaƒo_final_retificada.pdf</w:t>
        </w:r>
      </w:hyperlink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&gt;. Acesso em: 26 de Ago 2025.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PIAGET, Jean.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Relações entre a afetividade e a inteligência no desenvolvimento mental da criança.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Rio de Janeiro: Editora Wak,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b="0" l="0" r="0" t="0"/>
          <wp:wrapNone/>
          <wp:docPr id="1961704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b="0" l="0" r="0" t="0"/>
          <wp:wrapNone/>
          <wp:docPr id="1961704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8054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uern.br/controledepaginas/defendidas-em-2021/arquivos/6263dissertaa%E2%80%A1a%C6%92o_paulo_henrique_versa%C6%92o_final_retificad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odamateria.com.br/cronica/" TargetMode="External"/><Relationship Id="rId8" Type="http://schemas.openxmlformats.org/officeDocument/2006/relationships/hyperlink" Target="https://www.todamateria.com.br/cronica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mZI4LSYqP0ht3U2KuXTBKXiaQ==">CgMxLjAyDmguYWFnODBvY3doY3g3OAByITFYU0d6UEV4S05pWmUtMnBLd256WXhUMEZpX21MRzFMVg==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2025-08-06T13:46:00Z</dcterms:created>
  <dc:creator>Thaíssa Gabrielle Ferreira Henrique</dc:creator>
</cp:coreProperties>
</file>