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C7BF" w14:textId="77777777" w:rsidR="00B61164" w:rsidRDefault="00B61164">
      <w:pPr>
        <w:pStyle w:val="Corpodetexto"/>
        <w:spacing w:before="11"/>
        <w:ind w:left="0"/>
        <w:jc w:val="left"/>
        <w:rPr>
          <w:rFonts w:ascii="Times New Roman"/>
          <w:sz w:val="15"/>
        </w:rPr>
      </w:pPr>
    </w:p>
    <w:p w14:paraId="7570D9A7" w14:textId="6FD21F48" w:rsidR="0072778F" w:rsidRDefault="0072778F" w:rsidP="0072778F">
      <w:pPr>
        <w:pStyle w:val="Ttulo"/>
        <w:spacing w:line="242" w:lineRule="auto"/>
      </w:pPr>
      <w:r>
        <w:t>TOXI</w:t>
      </w:r>
      <w:r w:rsidR="00D62327">
        <w:t>CI</w:t>
      </w:r>
      <w:r>
        <w:t>DADE AGUDA DO HERBICIDA ROUNDUP® PARA</w:t>
      </w:r>
    </w:p>
    <w:p w14:paraId="055AD1C2" w14:textId="77777777" w:rsidR="00B61164" w:rsidRDefault="0072778F" w:rsidP="0072778F">
      <w:pPr>
        <w:pStyle w:val="Ttulo"/>
        <w:spacing w:line="242" w:lineRule="auto"/>
      </w:pPr>
      <w:r w:rsidRPr="0072778F">
        <w:rPr>
          <w:i/>
        </w:rPr>
        <w:t xml:space="preserve">Diaphanosoma </w:t>
      </w:r>
      <w:r w:rsidRPr="0072778F">
        <w:t>sp</w:t>
      </w:r>
      <w:r>
        <w:t>. (CLADOCERA)</w:t>
      </w:r>
    </w:p>
    <w:p w14:paraId="662D48F7" w14:textId="55086DC6" w:rsidR="00AB1B5C" w:rsidRDefault="00AB1B5C" w:rsidP="00AB1B5C">
      <w:pPr>
        <w:spacing w:before="226" w:line="244" w:lineRule="auto"/>
        <w:ind w:left="150" w:right="147"/>
        <w:jc w:val="center"/>
        <w:rPr>
          <w:rFonts w:ascii="Arial" w:hAnsi="Arial"/>
          <w:b/>
          <w:sz w:val="20"/>
          <w:szCs w:val="20"/>
        </w:rPr>
      </w:pPr>
      <w:r>
        <w:rPr>
          <w:rFonts w:ascii="Arial" w:hAnsi="Arial"/>
          <w:b/>
          <w:sz w:val="20"/>
          <w:szCs w:val="20"/>
        </w:rPr>
        <w:t>RAMOS, F. M</w:t>
      </w:r>
      <w:r w:rsidR="00F22580">
        <w:rPr>
          <w:rFonts w:ascii="Arial" w:hAnsi="Arial"/>
          <w:b/>
          <w:sz w:val="20"/>
          <w:szCs w:val="20"/>
        </w:rPr>
        <w:t>.</w:t>
      </w:r>
      <w:r>
        <w:rPr>
          <w:rFonts w:ascii="Arial" w:hAnsi="Arial"/>
          <w:b/>
          <w:sz w:val="20"/>
          <w:szCs w:val="20"/>
        </w:rPr>
        <w:t>¹; BRITO, A. S</w:t>
      </w:r>
      <w:r w:rsidR="00F22580">
        <w:rPr>
          <w:rFonts w:ascii="Arial" w:hAnsi="Arial"/>
          <w:b/>
          <w:sz w:val="20"/>
          <w:szCs w:val="20"/>
        </w:rPr>
        <w:t>.</w:t>
      </w:r>
      <w:r>
        <w:rPr>
          <w:rFonts w:ascii="Arial" w:hAnsi="Arial"/>
          <w:b/>
          <w:sz w:val="20"/>
          <w:szCs w:val="20"/>
        </w:rPr>
        <w:t>²; LOPES, M. R</w:t>
      </w:r>
      <w:r w:rsidR="00F22580">
        <w:rPr>
          <w:rFonts w:ascii="Arial" w:hAnsi="Arial"/>
          <w:b/>
          <w:sz w:val="20"/>
          <w:szCs w:val="20"/>
        </w:rPr>
        <w:t>.</w:t>
      </w:r>
      <w:r>
        <w:rPr>
          <w:rFonts w:ascii="Arial" w:hAnsi="Arial"/>
          <w:b/>
          <w:sz w:val="20"/>
          <w:szCs w:val="20"/>
        </w:rPr>
        <w:t>³; SOUZA, J. S</w:t>
      </w:r>
      <w:r w:rsidR="00F22580">
        <w:rPr>
          <w:rFonts w:ascii="Arial" w:hAnsi="Arial"/>
          <w:b/>
          <w:sz w:val="20"/>
          <w:szCs w:val="20"/>
        </w:rPr>
        <w:t>.</w:t>
      </w:r>
      <w:r>
        <w:rPr>
          <w:rFonts w:ascii="Arial" w:hAnsi="Arial"/>
          <w:b/>
          <w:sz w:val="20"/>
          <w:szCs w:val="20"/>
          <w:vertAlign w:val="superscript"/>
        </w:rPr>
        <w:t>4</w:t>
      </w:r>
      <w:r>
        <w:rPr>
          <w:rFonts w:ascii="Arial" w:hAnsi="Arial"/>
          <w:b/>
          <w:sz w:val="20"/>
          <w:szCs w:val="20"/>
        </w:rPr>
        <w:t>; ABE, H. A</w:t>
      </w:r>
      <w:r w:rsidR="00F22580">
        <w:rPr>
          <w:rFonts w:ascii="Arial" w:hAnsi="Arial"/>
          <w:b/>
          <w:sz w:val="20"/>
          <w:szCs w:val="20"/>
        </w:rPr>
        <w:t>.</w:t>
      </w:r>
      <w:r>
        <w:rPr>
          <w:rFonts w:ascii="Arial" w:hAnsi="Arial"/>
          <w:b/>
          <w:sz w:val="20"/>
          <w:szCs w:val="20"/>
          <w:vertAlign w:val="superscript"/>
        </w:rPr>
        <w:t>5</w:t>
      </w:r>
      <w:r>
        <w:rPr>
          <w:rFonts w:ascii="Arial" w:hAnsi="Arial"/>
          <w:b/>
          <w:sz w:val="20"/>
          <w:szCs w:val="20"/>
        </w:rPr>
        <w:t>;</w:t>
      </w:r>
      <w:r>
        <w:rPr>
          <w:rFonts w:ascii="Arial" w:hAnsi="Arial"/>
          <w:b/>
          <w:spacing w:val="7"/>
          <w:sz w:val="20"/>
          <w:szCs w:val="20"/>
        </w:rPr>
        <w:t xml:space="preserve"> SOUSA, N. C</w:t>
      </w:r>
      <w:r w:rsidR="00F22580">
        <w:rPr>
          <w:rFonts w:ascii="Arial" w:hAnsi="Arial"/>
          <w:b/>
          <w:spacing w:val="7"/>
          <w:sz w:val="20"/>
          <w:szCs w:val="20"/>
        </w:rPr>
        <w:t>.</w:t>
      </w:r>
      <w:r>
        <w:rPr>
          <w:rFonts w:ascii="Arial" w:hAnsi="Arial"/>
          <w:b/>
          <w:sz w:val="20"/>
          <w:szCs w:val="20"/>
          <w:vertAlign w:val="superscript"/>
        </w:rPr>
        <w:t>6</w:t>
      </w:r>
    </w:p>
    <w:p w14:paraId="7255184C" w14:textId="77777777" w:rsidR="00AB1B5C" w:rsidRDefault="00AB1B5C" w:rsidP="00AB1B5C">
      <w:pPr>
        <w:spacing w:before="149"/>
        <w:ind w:left="150" w:right="148"/>
        <w:jc w:val="center"/>
        <w:rPr>
          <w:sz w:val="20"/>
        </w:rPr>
      </w:pPr>
      <w:r>
        <w:rPr>
          <w:position w:val="6"/>
          <w:sz w:val="13"/>
        </w:rPr>
        <w:t>1</w:t>
      </w:r>
      <w:r>
        <w:rPr>
          <w:sz w:val="20"/>
        </w:rPr>
        <w:t>fabricio.ramos@ifba.edu.br,</w:t>
      </w:r>
      <w:r>
        <w:rPr>
          <w:spacing w:val="-3"/>
          <w:sz w:val="20"/>
        </w:rPr>
        <w:t xml:space="preserve"> IFBA</w:t>
      </w:r>
      <w:r>
        <w:rPr>
          <w:sz w:val="20"/>
        </w:rPr>
        <w:t>,</w:t>
      </w:r>
      <w:r>
        <w:rPr>
          <w:spacing w:val="-2"/>
          <w:sz w:val="20"/>
        </w:rPr>
        <w:t xml:space="preserve"> Doutor</w:t>
      </w:r>
      <w:r>
        <w:rPr>
          <w:sz w:val="20"/>
        </w:rPr>
        <w:t>;</w:t>
      </w:r>
      <w:r>
        <w:rPr>
          <w:spacing w:val="-2"/>
          <w:sz w:val="20"/>
        </w:rPr>
        <w:t xml:space="preserve"> </w:t>
      </w:r>
      <w:r>
        <w:rPr>
          <w:position w:val="6"/>
          <w:sz w:val="13"/>
        </w:rPr>
        <w:t>2</w:t>
      </w:r>
      <w:r>
        <w:rPr>
          <w:sz w:val="20"/>
        </w:rPr>
        <w:t>anderson.ufpa13@gmail.com,</w:t>
      </w:r>
      <w:r>
        <w:rPr>
          <w:spacing w:val="-2"/>
          <w:sz w:val="20"/>
        </w:rPr>
        <w:t xml:space="preserve"> </w:t>
      </w:r>
      <w:r>
        <w:rPr>
          <w:sz w:val="20"/>
        </w:rPr>
        <w:t>UFPA,</w:t>
      </w:r>
      <w:r>
        <w:rPr>
          <w:spacing w:val="-4"/>
          <w:sz w:val="20"/>
        </w:rPr>
        <w:t xml:space="preserve"> Especialista</w:t>
      </w:r>
      <w:r>
        <w:rPr>
          <w:sz w:val="13"/>
        </w:rPr>
        <w:t>;</w:t>
      </w:r>
      <w:r>
        <w:rPr>
          <w:spacing w:val="-4"/>
          <w:sz w:val="13"/>
        </w:rPr>
        <w:t xml:space="preserve"> </w:t>
      </w:r>
      <w:r>
        <w:rPr>
          <w:position w:val="6"/>
          <w:sz w:val="13"/>
        </w:rPr>
        <w:t>3</w:t>
      </w:r>
      <w:r>
        <w:rPr>
          <w:sz w:val="20"/>
        </w:rPr>
        <w:t>marciarodrigues210@yahoo.com.br,</w:t>
      </w:r>
      <w:r>
        <w:rPr>
          <w:spacing w:val="-2"/>
          <w:sz w:val="20"/>
        </w:rPr>
        <w:t xml:space="preserve"> UFPA</w:t>
      </w:r>
      <w:r>
        <w:rPr>
          <w:sz w:val="20"/>
        </w:rPr>
        <w:t>,</w:t>
      </w:r>
      <w:r>
        <w:rPr>
          <w:spacing w:val="-4"/>
          <w:sz w:val="20"/>
        </w:rPr>
        <w:t xml:space="preserve"> Especialista</w:t>
      </w:r>
      <w:r>
        <w:rPr>
          <w:sz w:val="13"/>
        </w:rPr>
        <w:t>;</w:t>
      </w:r>
      <w:r>
        <w:rPr>
          <w:spacing w:val="-3"/>
          <w:sz w:val="13"/>
        </w:rPr>
        <w:t xml:space="preserve"> </w:t>
      </w:r>
      <w:r>
        <w:rPr>
          <w:position w:val="6"/>
          <w:sz w:val="13"/>
        </w:rPr>
        <w:t>4</w:t>
      </w:r>
      <w:r>
        <w:rPr>
          <w:sz w:val="20"/>
        </w:rPr>
        <w:t>joeliton.sousa@ifba.edu.br, IFBA,</w:t>
      </w:r>
    </w:p>
    <w:p w14:paraId="45922361" w14:textId="77777777" w:rsidR="00AB1B5C" w:rsidRDefault="00AB1B5C" w:rsidP="00AB1B5C">
      <w:pPr>
        <w:ind w:left="148" w:right="148"/>
        <w:jc w:val="center"/>
        <w:rPr>
          <w:sz w:val="20"/>
        </w:rPr>
      </w:pPr>
      <w:r>
        <w:rPr>
          <w:sz w:val="20"/>
        </w:rPr>
        <w:t>Especialista</w:t>
      </w:r>
      <w:r>
        <w:rPr>
          <w:sz w:val="13"/>
        </w:rPr>
        <w:t xml:space="preserve">; </w:t>
      </w:r>
      <w:r>
        <w:rPr>
          <w:position w:val="6"/>
          <w:sz w:val="13"/>
        </w:rPr>
        <w:t>5</w:t>
      </w:r>
      <w:r>
        <w:rPr>
          <w:sz w:val="20"/>
        </w:rPr>
        <w:t>higabe@gmail.com,</w:t>
      </w:r>
      <w:r>
        <w:rPr>
          <w:spacing w:val="-5"/>
          <w:sz w:val="20"/>
        </w:rPr>
        <w:t xml:space="preserve"> UFPA</w:t>
      </w:r>
      <w:r>
        <w:rPr>
          <w:sz w:val="20"/>
        </w:rPr>
        <w:t>,</w:t>
      </w:r>
      <w:r>
        <w:rPr>
          <w:spacing w:val="-5"/>
          <w:sz w:val="20"/>
        </w:rPr>
        <w:t xml:space="preserve"> Doutor</w:t>
      </w:r>
      <w:r>
        <w:rPr>
          <w:sz w:val="13"/>
        </w:rPr>
        <w:t>;</w:t>
      </w:r>
      <w:r>
        <w:rPr>
          <w:spacing w:val="-3"/>
          <w:sz w:val="13"/>
        </w:rPr>
        <w:t xml:space="preserve"> </w:t>
      </w:r>
      <w:r>
        <w:rPr>
          <w:position w:val="6"/>
          <w:sz w:val="13"/>
        </w:rPr>
        <w:t>6</w:t>
      </w:r>
      <w:r>
        <w:rPr>
          <w:sz w:val="20"/>
        </w:rPr>
        <w:t>natal.engpesca@gmail.com,</w:t>
      </w:r>
      <w:r>
        <w:rPr>
          <w:spacing w:val="-4"/>
          <w:sz w:val="20"/>
        </w:rPr>
        <w:t xml:space="preserve"> </w:t>
      </w:r>
      <w:r>
        <w:rPr>
          <w:sz w:val="20"/>
        </w:rPr>
        <w:t>UNEB,</w:t>
      </w:r>
      <w:r>
        <w:rPr>
          <w:spacing w:val="-3"/>
          <w:sz w:val="20"/>
        </w:rPr>
        <w:t xml:space="preserve"> Doutor</w:t>
      </w:r>
    </w:p>
    <w:p w14:paraId="082DBD25" w14:textId="77777777" w:rsidR="00B61164" w:rsidRDefault="00B61164">
      <w:pPr>
        <w:pStyle w:val="Corpodetexto"/>
        <w:ind w:left="0"/>
        <w:jc w:val="left"/>
      </w:pPr>
    </w:p>
    <w:p w14:paraId="5DBDFAB9" w14:textId="77777777" w:rsidR="00B61164" w:rsidRPr="00AB1B5C" w:rsidRDefault="0084418E">
      <w:pPr>
        <w:pStyle w:val="Ttulo1"/>
      </w:pPr>
      <w:r w:rsidRPr="00AB1B5C">
        <w:t>Resumo</w:t>
      </w:r>
    </w:p>
    <w:p w14:paraId="5C487395" w14:textId="77777777" w:rsidR="0072778F" w:rsidRPr="00AB1B5C" w:rsidRDefault="0072778F" w:rsidP="0072778F">
      <w:pPr>
        <w:pStyle w:val="Corpodetexto"/>
        <w:ind w:right="116" w:firstLine="14"/>
        <w:rPr>
          <w:rFonts w:ascii="Arial" w:hAnsi="Arial" w:cs="Arial"/>
        </w:rPr>
      </w:pPr>
      <w:r w:rsidRPr="00AB1B5C">
        <w:rPr>
          <w:rFonts w:ascii="Arial" w:hAnsi="Arial" w:cs="Arial"/>
        </w:rPr>
        <w:t xml:space="preserve">A agricultura em regiões tropicais se expandiu trazendo consigo consequências, como a dependência de agrotóxicos. O Brasil acabou se tornando o maior consumidor mundial de agrotóxicos, sendo líder no mercado mundial do ramo. Todos os anos novas formulações de poluentes são sintetizadas, gerando preocupações quanto aos efeitos produzidos no ambiente aquático. Diante disso, o objetivo deste trabalho foi determinar a concentração letal (CL50) do herbicida Roundup® para </w:t>
      </w:r>
      <w:r w:rsidRPr="00AB1B5C">
        <w:rPr>
          <w:rFonts w:ascii="Arial" w:hAnsi="Arial" w:cs="Arial"/>
          <w:i/>
        </w:rPr>
        <w:t>Diaphanosoma</w:t>
      </w:r>
      <w:r w:rsidRPr="00AB1B5C">
        <w:rPr>
          <w:rFonts w:ascii="Arial" w:hAnsi="Arial" w:cs="Arial"/>
        </w:rPr>
        <w:t xml:space="preserve"> sp. (Cladocera). O experimento foi conduzido em laboratório utilizando-se neonatos de </w:t>
      </w:r>
      <w:r w:rsidRPr="00AB1B5C">
        <w:rPr>
          <w:rFonts w:ascii="Arial" w:hAnsi="Arial" w:cs="Arial"/>
          <w:i/>
        </w:rPr>
        <w:t>Diaphanosoma</w:t>
      </w:r>
      <w:r w:rsidRPr="00AB1B5C">
        <w:rPr>
          <w:rFonts w:ascii="Arial" w:hAnsi="Arial" w:cs="Arial"/>
        </w:rPr>
        <w:t xml:space="preserve"> sp., obtidos em cultivo com idade variando de 2 a 26 horas em oito concentrações do agroquímico, além do controle. Foram utilizados a partir de testes preliminares, as seguintes concentrações: 0; 0,1; 0,2; 0,3; 0,4; 0,5; 0,6; 0,7; 0,8 </w:t>
      </w:r>
      <w:r w:rsidR="001B1CDF" w:rsidRPr="00AB1B5C">
        <w:rPr>
          <w:rFonts w:ascii="Arial" w:hAnsi="Arial" w:cs="Arial"/>
        </w:rPr>
        <w:t>mg.L</w:t>
      </w:r>
      <w:r w:rsidRPr="00AB1B5C">
        <w:rPr>
          <w:rFonts w:ascii="Arial" w:hAnsi="Arial" w:cs="Arial"/>
          <w:vertAlign w:val="superscript"/>
        </w:rPr>
        <w:t>-1</w:t>
      </w:r>
      <w:r w:rsidRPr="00AB1B5C">
        <w:rPr>
          <w:rFonts w:ascii="Arial" w:hAnsi="Arial" w:cs="Arial"/>
        </w:rPr>
        <w:t xml:space="preserve">ou 0; 3,7; 7,4; 11,1; 14,8; 18,5; 22,2; 25,9; 29,6 </w:t>
      </w:r>
      <w:r w:rsidR="001B1CDF" w:rsidRPr="00AB1B5C">
        <w:rPr>
          <w:rFonts w:ascii="Arial" w:hAnsi="Arial" w:cs="Arial"/>
        </w:rPr>
        <w:t>mg.L</w:t>
      </w:r>
      <w:r w:rsidRPr="00AB1B5C">
        <w:rPr>
          <w:rFonts w:ascii="Arial" w:hAnsi="Arial" w:cs="Arial"/>
          <w:vertAlign w:val="superscript"/>
        </w:rPr>
        <w:t>-1</w:t>
      </w:r>
      <w:r w:rsidRPr="00AB1B5C">
        <w:rPr>
          <w:rFonts w:ascii="Arial" w:hAnsi="Arial" w:cs="Arial"/>
        </w:rPr>
        <w:t xml:space="preserve">. Detectamos que a concentração letal que causou mortalidade em até 50% dos organismos, foi de 1,571 </w:t>
      </w:r>
      <w:r w:rsidR="001B1CDF" w:rsidRPr="00AB1B5C">
        <w:rPr>
          <w:rFonts w:ascii="Arial" w:hAnsi="Arial" w:cs="Arial"/>
        </w:rPr>
        <w:t>mg.L</w:t>
      </w:r>
      <w:r w:rsidRPr="00AB1B5C">
        <w:rPr>
          <w:rFonts w:ascii="Arial" w:hAnsi="Arial" w:cs="Arial"/>
          <w:vertAlign w:val="superscript"/>
        </w:rPr>
        <w:t>-1</w:t>
      </w:r>
      <w:r w:rsidRPr="00AB1B5C">
        <w:rPr>
          <w:rFonts w:ascii="Arial" w:hAnsi="Arial" w:cs="Arial"/>
        </w:rPr>
        <w:t xml:space="preserve">. Na menor concentração (0,5 </w:t>
      </w:r>
      <w:r w:rsidR="001B1CDF" w:rsidRPr="00AB1B5C">
        <w:rPr>
          <w:rFonts w:ascii="Arial" w:hAnsi="Arial" w:cs="Arial"/>
        </w:rPr>
        <w:t>mg.L</w:t>
      </w:r>
      <w:r w:rsidRPr="00AB1B5C">
        <w:rPr>
          <w:rFonts w:ascii="Arial" w:hAnsi="Arial" w:cs="Arial"/>
          <w:vertAlign w:val="superscript"/>
        </w:rPr>
        <w:t>-1</w:t>
      </w:r>
      <w:r w:rsidRPr="00AB1B5C">
        <w:rPr>
          <w:rFonts w:ascii="Arial" w:hAnsi="Arial" w:cs="Arial"/>
        </w:rPr>
        <w:t xml:space="preserve">), observamos a mortalidade de 10% dos organismos, após 48 horas. A espécie </w:t>
      </w:r>
      <w:r w:rsidRPr="00AB1B5C">
        <w:rPr>
          <w:rFonts w:ascii="Arial" w:hAnsi="Arial" w:cs="Arial"/>
          <w:i/>
        </w:rPr>
        <w:t>Diaphanosoma</w:t>
      </w:r>
      <w:r w:rsidRPr="00AB1B5C">
        <w:rPr>
          <w:rFonts w:ascii="Arial" w:hAnsi="Arial" w:cs="Arial"/>
        </w:rPr>
        <w:t xml:space="preserve"> sp. possui a CL50-48h = 1,571 </w:t>
      </w:r>
      <w:r w:rsidR="001B1CDF" w:rsidRPr="00AB1B5C">
        <w:rPr>
          <w:rFonts w:ascii="Arial" w:hAnsi="Arial" w:cs="Arial"/>
        </w:rPr>
        <w:t>mg.L</w:t>
      </w:r>
      <w:r w:rsidRPr="00AB1B5C">
        <w:rPr>
          <w:rFonts w:ascii="Arial" w:hAnsi="Arial" w:cs="Arial"/>
          <w:vertAlign w:val="superscript"/>
        </w:rPr>
        <w:t>-1</w:t>
      </w:r>
      <w:r w:rsidRPr="00AB1B5C">
        <w:rPr>
          <w:rFonts w:ascii="Arial" w:hAnsi="Arial" w:cs="Arial"/>
        </w:rPr>
        <w:t xml:space="preserve"> para o herbicida glifosato. Em conclusão, o lançamento de tais substancias nos corpos d’agua pode trazer riscos a organismos aquáticos e ambiente</w:t>
      </w:r>
    </w:p>
    <w:p w14:paraId="6286F5F1" w14:textId="77777777" w:rsidR="00B61164" w:rsidRPr="00AB1B5C" w:rsidRDefault="0072778F" w:rsidP="0072778F">
      <w:pPr>
        <w:pStyle w:val="Corpodetexto"/>
        <w:spacing w:before="1"/>
        <w:ind w:left="2813"/>
        <w:rPr>
          <w:rFonts w:ascii="Arial" w:hAnsi="Arial" w:cs="Arial"/>
        </w:rPr>
      </w:pPr>
      <w:r w:rsidRPr="00AB1B5C">
        <w:rPr>
          <w:rFonts w:ascii="Arial" w:hAnsi="Arial" w:cs="Arial"/>
          <w:color w:val="000099"/>
        </w:rPr>
        <w:t xml:space="preserve"> </w:t>
      </w:r>
    </w:p>
    <w:p w14:paraId="6E95FE15" w14:textId="77777777" w:rsidR="00B61164" w:rsidRPr="00AB1B5C" w:rsidRDefault="0084418E">
      <w:pPr>
        <w:pStyle w:val="Corpodetexto"/>
        <w:ind w:right="116" w:firstLine="14"/>
        <w:rPr>
          <w:rFonts w:ascii="Arial" w:hAnsi="Arial" w:cs="Arial"/>
        </w:rPr>
      </w:pPr>
      <w:r w:rsidRPr="00AB1B5C">
        <w:rPr>
          <w:rFonts w:ascii="Arial" w:hAnsi="Arial" w:cs="Arial"/>
          <w:b/>
        </w:rPr>
        <w:t>Palavras–chave:</w:t>
      </w:r>
      <w:r w:rsidRPr="00AB1B5C">
        <w:rPr>
          <w:rFonts w:ascii="Arial" w:hAnsi="Arial" w:cs="Arial"/>
        </w:rPr>
        <w:t xml:space="preserve"> </w:t>
      </w:r>
      <w:r w:rsidR="0072778F" w:rsidRPr="00AB1B5C">
        <w:rPr>
          <w:rFonts w:ascii="Arial" w:hAnsi="Arial" w:cs="Arial"/>
        </w:rPr>
        <w:t>Agrotóxico; Concentração letal; Glifosato</w:t>
      </w:r>
    </w:p>
    <w:p w14:paraId="0B415C2D" w14:textId="77777777" w:rsidR="00B61164" w:rsidRPr="00AB1B5C" w:rsidRDefault="00B61164">
      <w:pPr>
        <w:pStyle w:val="Corpodetexto"/>
        <w:ind w:left="0"/>
        <w:jc w:val="left"/>
        <w:rPr>
          <w:rFonts w:ascii="Arial" w:hAnsi="Arial" w:cs="Arial"/>
        </w:rPr>
      </w:pPr>
    </w:p>
    <w:p w14:paraId="6579D73A" w14:textId="77777777" w:rsidR="009A5E27" w:rsidRPr="00AB1B5C" w:rsidRDefault="009A5E27">
      <w:pPr>
        <w:pStyle w:val="Corpodetexto"/>
        <w:ind w:left="0"/>
        <w:jc w:val="left"/>
        <w:rPr>
          <w:rFonts w:ascii="Arial" w:hAnsi="Arial" w:cs="Arial"/>
        </w:rPr>
      </w:pPr>
    </w:p>
    <w:p w14:paraId="0E42C4B5" w14:textId="77777777" w:rsidR="00B61164" w:rsidRPr="00AB1B5C" w:rsidRDefault="0084418E">
      <w:pPr>
        <w:pStyle w:val="Ttulo1"/>
      </w:pPr>
      <w:r w:rsidRPr="00AB1B5C">
        <w:t>INTRODUÇÃO</w:t>
      </w:r>
    </w:p>
    <w:p w14:paraId="3281182A" w14:textId="77777777" w:rsidR="00EE407C" w:rsidRPr="00AB1B5C" w:rsidRDefault="00EE407C" w:rsidP="00EE407C">
      <w:pPr>
        <w:pStyle w:val="Corpodetexto"/>
        <w:ind w:right="116" w:firstLine="568"/>
        <w:rPr>
          <w:rFonts w:ascii="Arial" w:hAnsi="Arial" w:cs="Arial"/>
        </w:rPr>
      </w:pPr>
      <w:r w:rsidRPr="00AB1B5C">
        <w:rPr>
          <w:rFonts w:ascii="Arial" w:hAnsi="Arial" w:cs="Arial"/>
        </w:rPr>
        <w:t>No mercado de agrotóxicos, os herbicidas representam 45% do total de agrotóxicos comercializados (ABRASCO, 2012). Dentre estes, o princípio ativo Glifosato recebe várias denominações comerciais, mas o Roundup® é o que possui grande relevância comercial. Seu uso tem sido crescente em áreas da Amazônia (WAICHMAN et al., 2002). Em diagnósticos realizados nestas áreas, foi observado que equipamentos de aplicação e outros utensílios usados com herbicidas e outros defensivos, são lavados diretamente nos rios e igarapés por 70% dos produtores (WAICHMAN et al., 2003).</w:t>
      </w:r>
    </w:p>
    <w:p w14:paraId="1D88D6E1" w14:textId="77777777" w:rsidR="00EE407C" w:rsidRPr="00AB1B5C" w:rsidRDefault="00EE407C" w:rsidP="00EE407C">
      <w:pPr>
        <w:pStyle w:val="Corpodetexto"/>
        <w:ind w:right="116" w:firstLine="568"/>
        <w:rPr>
          <w:rFonts w:ascii="Arial" w:hAnsi="Arial" w:cs="Arial"/>
        </w:rPr>
      </w:pPr>
      <w:r w:rsidRPr="00AB1B5C">
        <w:rPr>
          <w:rFonts w:ascii="Arial" w:hAnsi="Arial" w:cs="Arial"/>
        </w:rPr>
        <w:t>Anualmente são sintetizados novos compostos e formulações desses poluentes que afetam o ambiente aquático, cujos efeitos são preocupantes. Em detrimento de seu uso, esta poluição, comumente, está associada às descargas de efluentes domésticos, industriais e agrícolas. Em áreas agrícolas, a introdução de nutrientes nos corpos d’água pode ocorrer por meio da lixiviação e a infiltração da água intersticial, a partir de fertilizantes e agrotóxicos, em quantidades substanciais (ALBINATI et al., 2007).</w:t>
      </w:r>
    </w:p>
    <w:p w14:paraId="25A8447D" w14:textId="77777777" w:rsidR="00EE407C" w:rsidRPr="00AB1B5C" w:rsidRDefault="00EE407C" w:rsidP="00EE407C">
      <w:pPr>
        <w:pStyle w:val="Corpodetexto"/>
        <w:ind w:right="116" w:firstLine="568"/>
        <w:rPr>
          <w:rFonts w:ascii="Arial" w:hAnsi="Arial" w:cs="Arial"/>
        </w:rPr>
      </w:pPr>
      <w:r w:rsidRPr="00AB1B5C">
        <w:rPr>
          <w:rFonts w:ascii="Arial" w:hAnsi="Arial" w:cs="Arial"/>
        </w:rPr>
        <w:t xml:space="preserve">Testes de toxicidade com invertebrados aquáticos fornecem importante suporte na determinação de impactos químicos ao meio ambiente (GHERARDI-GOLDSTEIN et al., 1990). Alguns destes organismos fazem parte do </w:t>
      </w:r>
      <w:r w:rsidRPr="00AB1B5C">
        <w:rPr>
          <w:rFonts w:ascii="Arial" w:hAnsi="Arial" w:cs="Arial"/>
        </w:rPr>
        <w:lastRenderedPageBreak/>
        <w:t>zooplâncton límnico, de importância na cadeia alimentar aquática, representando o elo entre organismos autotróficos e consumidores (RUPPERT et al., 2005). Devido a este papel, efeitos observados nestes organismos inferem em problemas aos níveis tróficos subsequentes, destacando seu uso na avaliação de impacto ambiental, assim como, no estado de saúde do ambiente.</w:t>
      </w:r>
    </w:p>
    <w:p w14:paraId="43584594" w14:textId="77777777" w:rsidR="00EE407C" w:rsidRPr="00AB1B5C" w:rsidRDefault="00EE407C" w:rsidP="00EE407C">
      <w:pPr>
        <w:pStyle w:val="Corpodetexto"/>
        <w:ind w:right="116" w:firstLine="568"/>
        <w:rPr>
          <w:rFonts w:ascii="Arial" w:hAnsi="Arial" w:cs="Arial"/>
        </w:rPr>
      </w:pPr>
      <w:r w:rsidRPr="00AB1B5C">
        <w:rPr>
          <w:rFonts w:ascii="Arial" w:hAnsi="Arial" w:cs="Arial"/>
        </w:rPr>
        <w:t>Os cladóceros também são considerados grupo-chave para testes ecotoxicológicos devido à sua sensibilidade às mudanças no ambiente aquático (HOFFMAN, 2003). Os gêneros Daphnia, Ceriodaphnia, Diaphanosoma e Moina são comumente usados como organismos de bioensaios em ecotoxicologia devido à sua disponibilidade, sensibilidade, taxonomia, estabilidade e facilidade com que podem ser cultivados a longo prazo (SARMA e NANDINI, 2006).</w:t>
      </w:r>
    </w:p>
    <w:p w14:paraId="2C721443" w14:textId="77777777" w:rsidR="00B61164" w:rsidRPr="00AB1B5C" w:rsidRDefault="00EE407C" w:rsidP="00EE407C">
      <w:pPr>
        <w:pStyle w:val="Corpodetexto"/>
        <w:ind w:right="116" w:firstLine="568"/>
        <w:rPr>
          <w:rFonts w:ascii="Arial" w:hAnsi="Arial" w:cs="Arial"/>
        </w:rPr>
      </w:pPr>
      <w:r w:rsidRPr="00AB1B5C">
        <w:rPr>
          <w:rFonts w:ascii="Arial" w:hAnsi="Arial" w:cs="Arial"/>
        </w:rPr>
        <w:t xml:space="preserve">Diante do exposto, objetivo deste trabalho foi determinar a concentração letal (CL50) do herbicida Roundup® para </w:t>
      </w:r>
      <w:r w:rsidRPr="00AB1B5C">
        <w:rPr>
          <w:rFonts w:ascii="Arial" w:hAnsi="Arial" w:cs="Arial"/>
          <w:i/>
        </w:rPr>
        <w:t>Diaphanosoma</w:t>
      </w:r>
      <w:r w:rsidRPr="00AB1B5C">
        <w:rPr>
          <w:rFonts w:ascii="Arial" w:hAnsi="Arial" w:cs="Arial"/>
        </w:rPr>
        <w:t xml:space="preserve"> sp. (Cladocera).</w:t>
      </w:r>
    </w:p>
    <w:p w14:paraId="2F800B7C" w14:textId="77777777" w:rsidR="009A5E27" w:rsidRPr="00AB1B5C" w:rsidRDefault="009A5E27">
      <w:pPr>
        <w:pStyle w:val="Ttulo1"/>
      </w:pPr>
    </w:p>
    <w:p w14:paraId="5E454FEA" w14:textId="77777777" w:rsidR="00B61164" w:rsidRPr="00AB1B5C" w:rsidRDefault="0084418E">
      <w:pPr>
        <w:pStyle w:val="Ttulo1"/>
      </w:pPr>
      <w:r w:rsidRPr="00AB1B5C">
        <w:t>MATERIAL</w:t>
      </w:r>
      <w:r w:rsidRPr="00AB1B5C">
        <w:rPr>
          <w:spacing w:val="-2"/>
        </w:rPr>
        <w:t xml:space="preserve"> </w:t>
      </w:r>
      <w:r w:rsidRPr="00AB1B5C">
        <w:t>E</w:t>
      </w:r>
      <w:r w:rsidRPr="00AB1B5C">
        <w:rPr>
          <w:spacing w:val="-2"/>
        </w:rPr>
        <w:t xml:space="preserve"> </w:t>
      </w:r>
      <w:r w:rsidRPr="00AB1B5C">
        <w:t>MÉTODOS</w:t>
      </w:r>
    </w:p>
    <w:p w14:paraId="2417A2DE" w14:textId="463446DD" w:rsidR="00AE7265" w:rsidRPr="00AB1B5C" w:rsidRDefault="00AE7265" w:rsidP="00AE7265">
      <w:pPr>
        <w:pStyle w:val="Corpodetexto"/>
        <w:ind w:right="116" w:firstLine="568"/>
        <w:rPr>
          <w:rFonts w:ascii="Arial" w:hAnsi="Arial" w:cs="Arial"/>
        </w:rPr>
      </w:pPr>
      <w:r w:rsidRPr="00AB1B5C">
        <w:rPr>
          <w:rFonts w:ascii="Arial" w:hAnsi="Arial" w:cs="Arial"/>
        </w:rPr>
        <w:t>Os testes de toxicidade do herbicida Roundup (Sal de Di-amônio de Glifosato 445 g</w:t>
      </w:r>
      <w:r w:rsidR="00F850A8" w:rsidRPr="00AB1B5C">
        <w:rPr>
          <w:rFonts w:ascii="Arial" w:hAnsi="Arial" w:cs="Arial"/>
        </w:rPr>
        <w:t>.L</w:t>
      </w:r>
      <w:r w:rsidR="00F850A8" w:rsidRPr="00AB1B5C">
        <w:rPr>
          <w:rFonts w:ascii="Arial" w:hAnsi="Arial" w:cs="Arial"/>
          <w:vertAlign w:val="superscript"/>
        </w:rPr>
        <w:t>-1</w:t>
      </w:r>
      <w:r w:rsidR="00F850A8" w:rsidRPr="00AB1B5C">
        <w:rPr>
          <w:rFonts w:ascii="Arial" w:hAnsi="Arial" w:cs="Arial"/>
        </w:rPr>
        <w:t xml:space="preserve"> </w:t>
      </w:r>
      <w:r w:rsidRPr="00AB1B5C">
        <w:rPr>
          <w:rFonts w:ascii="Arial" w:hAnsi="Arial" w:cs="Arial"/>
        </w:rPr>
        <w:t>(370 g</w:t>
      </w:r>
      <w:r w:rsidR="00F850A8" w:rsidRPr="00AB1B5C">
        <w:rPr>
          <w:rFonts w:ascii="Arial" w:hAnsi="Arial" w:cs="Arial"/>
        </w:rPr>
        <w:t>.L</w:t>
      </w:r>
      <w:r w:rsidR="00F850A8" w:rsidRPr="00AB1B5C">
        <w:rPr>
          <w:rFonts w:ascii="Arial" w:hAnsi="Arial" w:cs="Arial"/>
          <w:vertAlign w:val="superscript"/>
        </w:rPr>
        <w:t>-1</w:t>
      </w:r>
      <w:r w:rsidR="00F850A8" w:rsidRPr="00AB1B5C">
        <w:rPr>
          <w:rFonts w:ascii="Arial" w:hAnsi="Arial" w:cs="Arial"/>
        </w:rPr>
        <w:t xml:space="preserve"> </w:t>
      </w:r>
      <w:r w:rsidRPr="00AB1B5C">
        <w:rPr>
          <w:rFonts w:ascii="Arial" w:hAnsi="Arial" w:cs="Arial"/>
        </w:rPr>
        <w:t xml:space="preserve">equivalente ácido)) foram realizados conforme a NBR 12713 da ABNT (2004), sendo conduzidos no Laboratório de Aquicultura de Organismos Aquáticos do Baixo Tocantins – AQUATINS do IFPA, </w:t>
      </w:r>
      <w:r w:rsidR="00534993" w:rsidRPr="00AB1B5C">
        <w:rPr>
          <w:rFonts w:ascii="Arial" w:hAnsi="Arial" w:cs="Arial"/>
        </w:rPr>
        <w:t>C</w:t>
      </w:r>
      <w:r w:rsidRPr="00AB1B5C">
        <w:rPr>
          <w:rFonts w:ascii="Arial" w:hAnsi="Arial" w:cs="Arial"/>
        </w:rPr>
        <w:t>ampus Cametá.</w:t>
      </w:r>
    </w:p>
    <w:p w14:paraId="39CFF6D7" w14:textId="5B1EF157" w:rsidR="00AE7265" w:rsidRPr="00AB1B5C" w:rsidRDefault="00AE7265" w:rsidP="00AE7265">
      <w:pPr>
        <w:pStyle w:val="Corpodetexto"/>
        <w:ind w:right="116" w:firstLine="568"/>
        <w:rPr>
          <w:rFonts w:ascii="Arial" w:hAnsi="Arial" w:cs="Arial"/>
        </w:rPr>
      </w:pPr>
      <w:r w:rsidRPr="00AB1B5C">
        <w:rPr>
          <w:rFonts w:ascii="Arial" w:hAnsi="Arial" w:cs="Arial"/>
        </w:rPr>
        <w:t>Foram utilizados neonatos de Diaphanosoma sp., obtidos em cultivo no laboratório com idade variando de 2 a 26 horas. Oito concentrações do agroquímico além do controle foram utilizados a partir de testes preliminares 0; 0,1; 0,2; 0</w:t>
      </w:r>
      <w:r w:rsidR="0060474D" w:rsidRPr="00AB1B5C">
        <w:rPr>
          <w:rFonts w:ascii="Arial" w:hAnsi="Arial" w:cs="Arial"/>
        </w:rPr>
        <w:t>,3; 0,4; 0,5; 0,6; 0,7; 0,8 ml</w:t>
      </w:r>
      <w:r w:rsidR="00F850A8" w:rsidRPr="00AB1B5C">
        <w:rPr>
          <w:rFonts w:ascii="Arial" w:hAnsi="Arial" w:cs="Arial"/>
        </w:rPr>
        <w:t>.L</w:t>
      </w:r>
      <w:r w:rsidR="00F850A8" w:rsidRPr="00AB1B5C">
        <w:rPr>
          <w:rFonts w:ascii="Arial" w:hAnsi="Arial" w:cs="Arial"/>
          <w:vertAlign w:val="superscript"/>
        </w:rPr>
        <w:t>-1</w:t>
      </w:r>
      <w:r w:rsidR="00F850A8" w:rsidRPr="00AB1B5C">
        <w:rPr>
          <w:rFonts w:ascii="Arial" w:hAnsi="Arial" w:cs="Arial"/>
        </w:rPr>
        <w:t xml:space="preserve"> </w:t>
      </w:r>
      <w:r w:rsidRPr="00AB1B5C">
        <w:rPr>
          <w:rFonts w:ascii="Arial" w:hAnsi="Arial" w:cs="Arial"/>
        </w:rPr>
        <w:t xml:space="preserve">ou 0; 3,7; 7,4; 11,1; 14,8; 18,5; 22,2; 25,9; 29,6 </w:t>
      </w:r>
      <w:r w:rsidR="001B1CDF" w:rsidRPr="00AB1B5C">
        <w:rPr>
          <w:rFonts w:ascii="Arial" w:hAnsi="Arial" w:cs="Arial"/>
        </w:rPr>
        <w:t>mg.L</w:t>
      </w:r>
      <w:r w:rsidRPr="00AB1B5C">
        <w:rPr>
          <w:rFonts w:ascii="Arial" w:hAnsi="Arial" w:cs="Arial"/>
          <w:vertAlign w:val="superscript"/>
        </w:rPr>
        <w:t>-1</w:t>
      </w:r>
      <w:r w:rsidRPr="00AB1B5C">
        <w:rPr>
          <w:rFonts w:ascii="Arial" w:hAnsi="Arial" w:cs="Arial"/>
        </w:rPr>
        <w:t>.</w:t>
      </w:r>
    </w:p>
    <w:p w14:paraId="7A3D67ED" w14:textId="77777777" w:rsidR="00AE7265" w:rsidRPr="00AB1B5C" w:rsidRDefault="00AE7265" w:rsidP="00AE7265">
      <w:pPr>
        <w:pStyle w:val="Corpodetexto"/>
        <w:ind w:right="116" w:firstLine="568"/>
        <w:rPr>
          <w:rFonts w:ascii="Arial" w:hAnsi="Arial" w:cs="Arial"/>
        </w:rPr>
      </w:pPr>
      <w:r w:rsidRPr="00AB1B5C">
        <w:rPr>
          <w:rFonts w:ascii="Arial" w:hAnsi="Arial" w:cs="Arial"/>
        </w:rPr>
        <w:t>Em cada concentração foram distribuídos aleatoriamente 10 organismos individualmente em 10 frascos de 10 ml da solução, considerando assim 1 organismo como unidade experimental. Os frascos foram mantidos em ambiente controlado com temperatura de 28 ± 0,6ºC e foto período de 12 horas de luz. Os testes duraram 48 horas. Ao final dos testes registrou-se o número de organismos imóveis em cada frasco. Os indivíduos foram considerados imóveis quando não apresentavam movimento após 10 segundos de observação mesmo com pequena agitação dos béqueres.</w:t>
      </w:r>
    </w:p>
    <w:p w14:paraId="20C8D66D" w14:textId="6D0E23DD" w:rsidR="00AE7265" w:rsidRPr="00AB1B5C" w:rsidRDefault="00AE7265" w:rsidP="00614466">
      <w:pPr>
        <w:pStyle w:val="Corpodetexto"/>
        <w:ind w:right="116" w:firstLine="587"/>
        <w:rPr>
          <w:rFonts w:ascii="Arial" w:hAnsi="Arial" w:cs="Arial"/>
        </w:rPr>
      </w:pPr>
      <w:r w:rsidRPr="00AB1B5C">
        <w:rPr>
          <w:rFonts w:ascii="Arial" w:hAnsi="Arial" w:cs="Arial"/>
        </w:rPr>
        <w:t xml:space="preserve">A qualidade de água foi aferida no início dos trabalhos, 6,32 ± 0,41 </w:t>
      </w:r>
      <w:r w:rsidR="001B1CDF" w:rsidRPr="00AB1B5C">
        <w:rPr>
          <w:rFonts w:ascii="Arial" w:hAnsi="Arial" w:cs="Arial"/>
        </w:rPr>
        <w:t>mg.L</w:t>
      </w:r>
      <w:r w:rsidRPr="00AB1B5C">
        <w:rPr>
          <w:rFonts w:ascii="Arial" w:hAnsi="Arial" w:cs="Arial"/>
          <w:vertAlign w:val="superscript"/>
        </w:rPr>
        <w:t>-1</w:t>
      </w:r>
      <w:r w:rsidRPr="00AB1B5C">
        <w:rPr>
          <w:rFonts w:ascii="Arial" w:hAnsi="Arial" w:cs="Arial"/>
        </w:rPr>
        <w:t>, temperatura de 28,1 ± 0,12 ºC, pH de 6,32 ± 0,15 e c</w:t>
      </w:r>
      <w:r w:rsidR="00F850A8" w:rsidRPr="00AB1B5C">
        <w:rPr>
          <w:rFonts w:ascii="Arial" w:hAnsi="Arial" w:cs="Arial"/>
        </w:rPr>
        <w:t>ondutividade de 0,219 ± 17,2 mS.</w:t>
      </w:r>
      <w:r w:rsidRPr="00AB1B5C">
        <w:rPr>
          <w:rFonts w:ascii="Arial" w:hAnsi="Arial" w:cs="Arial"/>
        </w:rPr>
        <w:t>cm</w:t>
      </w:r>
      <w:r w:rsidRPr="00AB1B5C">
        <w:rPr>
          <w:rFonts w:ascii="Arial" w:hAnsi="Arial" w:cs="Arial"/>
          <w:vertAlign w:val="superscript"/>
        </w:rPr>
        <w:t>-1</w:t>
      </w:r>
      <w:r w:rsidRPr="00AB1B5C">
        <w:rPr>
          <w:rFonts w:ascii="Arial" w:hAnsi="Arial" w:cs="Arial"/>
        </w:rPr>
        <w:t xml:space="preserve"> (através do equipamento Instrutherm™ PH</w:t>
      </w:r>
      <w:r w:rsidRPr="00AB1B5C">
        <w:rPr>
          <w:rFonts w:ascii="Cambria Math" w:hAnsi="Cambria Math" w:cs="Cambria Math"/>
        </w:rPr>
        <w:t>‐</w:t>
      </w:r>
      <w:r w:rsidRPr="00AB1B5C">
        <w:rPr>
          <w:rFonts w:ascii="Arial" w:hAnsi="Arial" w:cs="Arial"/>
        </w:rPr>
        <w:t xml:space="preserve">1500) e amônia total de 0,04 ± 0,01 </w:t>
      </w:r>
      <w:r w:rsidR="001B1CDF" w:rsidRPr="00AB1B5C">
        <w:rPr>
          <w:rFonts w:ascii="Arial" w:hAnsi="Arial" w:cs="Arial"/>
        </w:rPr>
        <w:t>mg.L</w:t>
      </w:r>
      <w:r w:rsidRPr="00AB1B5C">
        <w:rPr>
          <w:rFonts w:ascii="Arial" w:hAnsi="Arial" w:cs="Arial"/>
        </w:rPr>
        <w:t xml:space="preserve"> (HANNA HI 93715).</w:t>
      </w:r>
    </w:p>
    <w:p w14:paraId="53D6D9A8" w14:textId="77777777" w:rsidR="00AE7265" w:rsidRPr="00AB1B5C" w:rsidRDefault="00AE7265" w:rsidP="00614466">
      <w:pPr>
        <w:pStyle w:val="Corpodetexto"/>
        <w:ind w:right="116" w:firstLine="587"/>
        <w:rPr>
          <w:rFonts w:ascii="Arial" w:hAnsi="Arial" w:cs="Arial"/>
          <w:color w:val="000099"/>
        </w:rPr>
      </w:pPr>
      <w:r w:rsidRPr="00AB1B5C">
        <w:rPr>
          <w:rFonts w:ascii="Arial" w:hAnsi="Arial" w:cs="Arial"/>
        </w:rPr>
        <w:t>Os dados foram analisados utilizando-se o programa TSK (Trimmed Spearman Karber) para a obtenção da CL50; 48h (concentração letal mediana de 48 horas).</w:t>
      </w:r>
      <w:r w:rsidRPr="00AB1B5C">
        <w:rPr>
          <w:rFonts w:ascii="Arial" w:hAnsi="Arial" w:cs="Arial"/>
          <w:color w:val="000099"/>
        </w:rPr>
        <w:t xml:space="preserve"> </w:t>
      </w:r>
    </w:p>
    <w:p w14:paraId="7468D580" w14:textId="77777777" w:rsidR="00AE7265" w:rsidRPr="00AB1B5C" w:rsidRDefault="00AE7265" w:rsidP="00AE7265">
      <w:pPr>
        <w:pStyle w:val="Corpodetexto"/>
        <w:ind w:right="116" w:firstLine="568"/>
        <w:rPr>
          <w:rFonts w:ascii="Arial" w:hAnsi="Arial" w:cs="Arial"/>
          <w:color w:val="000099"/>
        </w:rPr>
      </w:pPr>
    </w:p>
    <w:p w14:paraId="74D376AC" w14:textId="77777777" w:rsidR="00B61164" w:rsidRPr="00AB1B5C" w:rsidRDefault="0084418E">
      <w:pPr>
        <w:pStyle w:val="Ttulo1"/>
      </w:pPr>
      <w:r w:rsidRPr="00AB1B5C">
        <w:t>RESULTADOS</w:t>
      </w:r>
      <w:r w:rsidRPr="00AB1B5C">
        <w:rPr>
          <w:spacing w:val="-3"/>
        </w:rPr>
        <w:t xml:space="preserve"> </w:t>
      </w:r>
      <w:r w:rsidRPr="00AB1B5C">
        <w:t>E</w:t>
      </w:r>
      <w:r w:rsidRPr="00AB1B5C">
        <w:rPr>
          <w:spacing w:val="-1"/>
        </w:rPr>
        <w:t xml:space="preserve"> </w:t>
      </w:r>
      <w:r w:rsidRPr="00AB1B5C">
        <w:t>DISCUSSÃO</w:t>
      </w:r>
    </w:p>
    <w:p w14:paraId="6F7CA954" w14:textId="0940C24B" w:rsidR="00AE7265" w:rsidRPr="00AB1B5C" w:rsidRDefault="00AE7265" w:rsidP="000A7C77">
      <w:pPr>
        <w:ind w:left="142" w:firstLine="567"/>
        <w:jc w:val="both"/>
        <w:rPr>
          <w:rFonts w:ascii="Arial" w:hAnsi="Arial" w:cs="Arial"/>
          <w:sz w:val="24"/>
          <w:szCs w:val="24"/>
        </w:rPr>
      </w:pPr>
      <w:r w:rsidRPr="00AB1B5C">
        <w:rPr>
          <w:rFonts w:ascii="Arial" w:hAnsi="Arial" w:cs="Arial"/>
          <w:sz w:val="24"/>
          <w:szCs w:val="24"/>
        </w:rPr>
        <w:t xml:space="preserve">Com a realização do teste agudo observou-se a mortalidade dos </w:t>
      </w:r>
      <w:r w:rsidRPr="00AB1B5C">
        <w:rPr>
          <w:rFonts w:ascii="Arial" w:hAnsi="Arial" w:cs="Arial"/>
          <w:i/>
          <w:sz w:val="24"/>
          <w:szCs w:val="24"/>
        </w:rPr>
        <w:t>Diaphanosoma</w:t>
      </w:r>
      <w:r w:rsidRPr="00AB1B5C">
        <w:rPr>
          <w:rFonts w:ascii="Arial" w:hAnsi="Arial" w:cs="Arial"/>
          <w:sz w:val="24"/>
          <w:szCs w:val="24"/>
        </w:rPr>
        <w:t xml:space="preserve"> sp. expostas a diferentes concentrações do glifosato no período de 48 horas e por meio do programa estatístico Trimmed Sperman Karber calculou-se a concentração letal 50% conforme demonstrado na Figura 1. A determinação da classe de toxicidade dos agrotóxicos foi feita baseada na tabela proposta por Zucker (1985). Com base nela, foi possível saber em qual classe estavam adotando o valor da CL50 encontrado. Vale ressaltar que os </w:t>
      </w:r>
      <w:r w:rsidRPr="00AB1B5C">
        <w:rPr>
          <w:rFonts w:ascii="Arial" w:hAnsi="Arial" w:cs="Arial"/>
          <w:sz w:val="24"/>
          <w:szCs w:val="24"/>
        </w:rPr>
        <w:lastRenderedPageBreak/>
        <w:t>níveis de toxicidade presentes na embalagem do produto o classificam na seguinte forma: Classe Toxicológica: II</w:t>
      </w:r>
      <w:r w:rsidR="00F850A8" w:rsidRPr="00AB1B5C">
        <w:rPr>
          <w:rFonts w:ascii="Arial" w:hAnsi="Arial" w:cs="Arial"/>
          <w:sz w:val="24"/>
          <w:szCs w:val="24"/>
        </w:rPr>
        <w:t xml:space="preserve"> </w:t>
      </w:r>
      <w:r w:rsidRPr="00AB1B5C">
        <w:rPr>
          <w:rFonts w:ascii="Arial" w:hAnsi="Arial" w:cs="Arial"/>
          <w:sz w:val="24"/>
          <w:szCs w:val="24"/>
        </w:rPr>
        <w:t>– Altamente Tóxico, Potencial de Periculosidade Ambiental: III – Perigoso ao Meio Ambiente.</w:t>
      </w:r>
    </w:p>
    <w:p w14:paraId="1C78FDAB" w14:textId="77777777" w:rsidR="00AE7265" w:rsidRPr="00AB1B5C" w:rsidRDefault="00AE7265" w:rsidP="000A7C77">
      <w:pPr>
        <w:ind w:left="142" w:firstLine="567"/>
        <w:jc w:val="both"/>
        <w:rPr>
          <w:rFonts w:ascii="Arial" w:hAnsi="Arial" w:cs="Arial"/>
          <w:sz w:val="24"/>
          <w:szCs w:val="24"/>
        </w:rPr>
      </w:pPr>
      <w:r w:rsidRPr="00AB1B5C">
        <w:rPr>
          <w:rFonts w:ascii="Arial" w:hAnsi="Arial" w:cs="Arial"/>
          <w:sz w:val="24"/>
          <w:szCs w:val="24"/>
        </w:rPr>
        <w:t xml:space="preserve">A concentração letal causadora de mortalidade em até 50% dos organismos, foi de 1,571 </w:t>
      </w:r>
      <w:r w:rsidR="001B1CDF" w:rsidRPr="00AB1B5C">
        <w:rPr>
          <w:rFonts w:ascii="Arial" w:hAnsi="Arial" w:cs="Arial"/>
          <w:sz w:val="24"/>
          <w:szCs w:val="24"/>
        </w:rPr>
        <w:t>mg.L</w:t>
      </w:r>
      <w:r w:rsidRPr="00AB1B5C">
        <w:rPr>
          <w:rFonts w:ascii="Arial" w:hAnsi="Arial" w:cs="Arial"/>
          <w:sz w:val="24"/>
          <w:szCs w:val="24"/>
          <w:vertAlign w:val="superscript"/>
        </w:rPr>
        <w:t>-1</w:t>
      </w:r>
      <w:r w:rsidRPr="00AB1B5C">
        <w:rPr>
          <w:rFonts w:ascii="Arial" w:hAnsi="Arial" w:cs="Arial"/>
          <w:sz w:val="24"/>
          <w:szCs w:val="24"/>
        </w:rPr>
        <w:t xml:space="preserve"> (Fig. 1). Na menor concentração (0,5 </w:t>
      </w:r>
      <w:r w:rsidR="001B1CDF" w:rsidRPr="00AB1B5C">
        <w:rPr>
          <w:rFonts w:ascii="Arial" w:hAnsi="Arial" w:cs="Arial"/>
          <w:sz w:val="24"/>
          <w:szCs w:val="24"/>
        </w:rPr>
        <w:t>mg.L</w:t>
      </w:r>
      <w:r w:rsidRPr="00AB1B5C">
        <w:rPr>
          <w:rFonts w:ascii="Arial" w:hAnsi="Arial" w:cs="Arial"/>
          <w:sz w:val="24"/>
          <w:szCs w:val="24"/>
          <w:vertAlign w:val="superscript"/>
        </w:rPr>
        <w:t>-1</w:t>
      </w:r>
      <w:r w:rsidRPr="00AB1B5C">
        <w:rPr>
          <w:rFonts w:ascii="Arial" w:hAnsi="Arial" w:cs="Arial"/>
          <w:sz w:val="24"/>
          <w:szCs w:val="24"/>
        </w:rPr>
        <w:t xml:space="preserve">) pode-se observar a mortalidade de 10% dos organismos após 48 horas. Isso mostra que mesmo na menor concentração já é possível causar perturbações no ambiente. Já nas concentrações mais elevadas 3,0 </w:t>
      </w:r>
      <w:r w:rsidR="001B1CDF" w:rsidRPr="00AB1B5C">
        <w:rPr>
          <w:rFonts w:ascii="Arial" w:hAnsi="Arial" w:cs="Arial"/>
          <w:sz w:val="24"/>
          <w:szCs w:val="24"/>
        </w:rPr>
        <w:t>mg.L</w:t>
      </w:r>
      <w:r w:rsidRPr="00AB1B5C">
        <w:rPr>
          <w:rFonts w:ascii="Arial" w:hAnsi="Arial" w:cs="Arial"/>
          <w:sz w:val="24"/>
          <w:szCs w:val="24"/>
          <w:vertAlign w:val="superscript"/>
        </w:rPr>
        <w:t>-1</w:t>
      </w:r>
      <w:r w:rsidRPr="00AB1B5C">
        <w:rPr>
          <w:rFonts w:ascii="Arial" w:hAnsi="Arial" w:cs="Arial"/>
          <w:sz w:val="24"/>
          <w:szCs w:val="24"/>
        </w:rPr>
        <w:t xml:space="preserve"> ocorreram a mortalidade de 100% dos organismos.</w:t>
      </w:r>
    </w:p>
    <w:p w14:paraId="68A8503A" w14:textId="77777777" w:rsidR="00614466" w:rsidRPr="00AB1B5C" w:rsidRDefault="00614466" w:rsidP="00AE7265">
      <w:pPr>
        <w:ind w:left="142" w:firstLine="425"/>
        <w:jc w:val="both"/>
        <w:rPr>
          <w:rFonts w:ascii="Arial" w:hAnsi="Arial" w:cs="Arial"/>
          <w:sz w:val="24"/>
          <w:szCs w:val="24"/>
        </w:rPr>
      </w:pPr>
    </w:p>
    <w:p w14:paraId="1C1AA95F" w14:textId="77777777" w:rsidR="00614466" w:rsidRPr="00AB1B5C" w:rsidRDefault="00614466" w:rsidP="008E2318">
      <w:pPr>
        <w:ind w:left="142" w:firstLine="425"/>
        <w:jc w:val="center"/>
        <w:rPr>
          <w:rFonts w:ascii="Arial" w:hAnsi="Arial" w:cs="Arial"/>
          <w:sz w:val="24"/>
          <w:szCs w:val="24"/>
        </w:rPr>
      </w:pPr>
      <w:r w:rsidRPr="00AB1B5C">
        <w:rPr>
          <w:rFonts w:ascii="Arial" w:hAnsi="Arial" w:cs="Arial"/>
          <w:noProof/>
          <w:lang w:val="pt-BR" w:eastAsia="pt-BR"/>
        </w:rPr>
        <w:drawing>
          <wp:inline distT="0" distB="0" distL="0" distR="0" wp14:anchorId="6F213566" wp14:editId="680A872F">
            <wp:extent cx="4162425" cy="26114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143" t="37712" r="25771" b="24578"/>
                    <a:stretch/>
                  </pic:blipFill>
                  <pic:spPr bwMode="auto">
                    <a:xfrm>
                      <a:off x="0" y="0"/>
                      <a:ext cx="4188597" cy="2627827"/>
                    </a:xfrm>
                    <a:prstGeom prst="rect">
                      <a:avLst/>
                    </a:prstGeom>
                    <a:ln>
                      <a:noFill/>
                    </a:ln>
                    <a:extLst>
                      <a:ext uri="{53640926-AAD7-44D8-BBD7-CCE9431645EC}">
                        <a14:shadowObscured xmlns:a14="http://schemas.microsoft.com/office/drawing/2010/main"/>
                      </a:ext>
                    </a:extLst>
                  </pic:spPr>
                </pic:pic>
              </a:graphicData>
            </a:graphic>
          </wp:inline>
        </w:drawing>
      </w:r>
    </w:p>
    <w:p w14:paraId="45E0755B" w14:textId="77777777" w:rsidR="00614466" w:rsidRPr="00AB1B5C" w:rsidRDefault="00614466" w:rsidP="008E2318">
      <w:pPr>
        <w:ind w:left="142" w:right="91" w:firstLine="567"/>
        <w:rPr>
          <w:rFonts w:ascii="Arial" w:hAnsi="Arial" w:cs="Arial"/>
        </w:rPr>
      </w:pPr>
      <w:r w:rsidRPr="00AB1B5C">
        <w:rPr>
          <w:rFonts w:ascii="Arial" w:hAnsi="Arial" w:cs="Arial"/>
          <w:b/>
        </w:rPr>
        <w:t>Figura</w:t>
      </w:r>
      <w:r w:rsidRPr="00AB1B5C">
        <w:rPr>
          <w:rFonts w:ascii="Arial" w:hAnsi="Arial" w:cs="Arial"/>
          <w:b/>
          <w:spacing w:val="9"/>
        </w:rPr>
        <w:t xml:space="preserve"> </w:t>
      </w:r>
      <w:r w:rsidRPr="00AB1B5C">
        <w:rPr>
          <w:rFonts w:ascii="Arial" w:hAnsi="Arial" w:cs="Arial"/>
          <w:b/>
        </w:rPr>
        <w:t>1.</w:t>
      </w:r>
      <w:r w:rsidRPr="00AB1B5C">
        <w:rPr>
          <w:rFonts w:ascii="Arial" w:hAnsi="Arial" w:cs="Arial"/>
          <w:b/>
          <w:spacing w:val="10"/>
        </w:rPr>
        <w:t xml:space="preserve"> </w:t>
      </w:r>
      <w:r w:rsidRPr="00AB1B5C">
        <w:rPr>
          <w:rFonts w:ascii="Arial" w:hAnsi="Arial" w:cs="Arial"/>
        </w:rPr>
        <w:t>Figura 1 – Imobilidade de Diaphanosoma sp., exposta a diferentes concentrações de glifosato e (CL50).</w:t>
      </w:r>
    </w:p>
    <w:p w14:paraId="4F0307B6" w14:textId="77777777" w:rsidR="008E2318" w:rsidRPr="00AB1B5C" w:rsidRDefault="008E2318" w:rsidP="008E2318">
      <w:pPr>
        <w:ind w:left="142" w:right="91" w:firstLine="567"/>
        <w:rPr>
          <w:rFonts w:ascii="Arial" w:hAnsi="Arial" w:cs="Arial"/>
        </w:rPr>
      </w:pPr>
    </w:p>
    <w:p w14:paraId="424BC149" w14:textId="3FC5259D" w:rsidR="008E2318" w:rsidRPr="00AB1B5C" w:rsidRDefault="008E2318" w:rsidP="008E2318">
      <w:pPr>
        <w:ind w:left="142" w:right="91" w:firstLine="567"/>
        <w:jc w:val="both"/>
        <w:rPr>
          <w:rStyle w:val="fontstyle01"/>
          <w:rFonts w:ascii="Arial" w:hAnsi="Arial" w:cs="Arial"/>
        </w:rPr>
      </w:pPr>
      <w:r w:rsidRPr="00AB1B5C">
        <w:rPr>
          <w:rStyle w:val="fontstyle01"/>
          <w:rFonts w:ascii="Arial" w:hAnsi="Arial" w:cs="Arial"/>
        </w:rPr>
        <w:t>De acordo com a resolução nº 357 (CONAMA, 2005), que estabelece o limite de 65 µg</w:t>
      </w:r>
      <w:r w:rsidR="00F850A8" w:rsidRPr="00AB1B5C">
        <w:rPr>
          <w:rFonts w:ascii="Arial" w:hAnsi="Arial" w:cs="Arial"/>
          <w:sz w:val="24"/>
          <w:szCs w:val="24"/>
        </w:rPr>
        <w:t>.L</w:t>
      </w:r>
      <w:r w:rsidR="00F850A8" w:rsidRPr="00AB1B5C">
        <w:rPr>
          <w:rFonts w:ascii="Arial" w:hAnsi="Arial" w:cs="Arial"/>
          <w:sz w:val="24"/>
          <w:szCs w:val="24"/>
          <w:vertAlign w:val="superscript"/>
        </w:rPr>
        <w:t>-1</w:t>
      </w:r>
      <w:r w:rsidR="00F850A8" w:rsidRPr="00AB1B5C">
        <w:rPr>
          <w:rFonts w:ascii="Arial" w:hAnsi="Arial" w:cs="Arial"/>
          <w:sz w:val="24"/>
          <w:szCs w:val="24"/>
        </w:rPr>
        <w:t xml:space="preserve"> </w:t>
      </w:r>
      <w:r w:rsidRPr="00AB1B5C">
        <w:rPr>
          <w:rStyle w:val="fontstyle01"/>
          <w:rFonts w:ascii="Arial" w:hAnsi="Arial" w:cs="Arial"/>
        </w:rPr>
        <w:t>do glifosato em águas doces de classe I e 280 µg</w:t>
      </w:r>
      <w:r w:rsidR="00F850A8" w:rsidRPr="00AB1B5C">
        <w:rPr>
          <w:rFonts w:ascii="Arial" w:hAnsi="Arial" w:cs="Arial"/>
          <w:sz w:val="24"/>
          <w:szCs w:val="24"/>
        </w:rPr>
        <w:t>.L</w:t>
      </w:r>
      <w:r w:rsidR="00F850A8" w:rsidRPr="00AB1B5C">
        <w:rPr>
          <w:rFonts w:ascii="Arial" w:hAnsi="Arial" w:cs="Arial"/>
          <w:sz w:val="24"/>
          <w:szCs w:val="24"/>
          <w:vertAlign w:val="superscript"/>
        </w:rPr>
        <w:t>-1</w:t>
      </w:r>
      <w:r w:rsidR="00F850A8" w:rsidRPr="00AB1B5C">
        <w:rPr>
          <w:rFonts w:ascii="Arial" w:hAnsi="Arial" w:cs="Arial"/>
          <w:sz w:val="24"/>
          <w:szCs w:val="24"/>
        </w:rPr>
        <w:t xml:space="preserve"> </w:t>
      </w:r>
      <w:r w:rsidRPr="00AB1B5C">
        <w:rPr>
          <w:rStyle w:val="fontstyle01"/>
          <w:rFonts w:ascii="Arial" w:hAnsi="Arial" w:cs="Arial"/>
        </w:rPr>
        <w:t>para águas doces de classe III, destaca</w:t>
      </w:r>
      <w:r w:rsidR="00534993" w:rsidRPr="00AB1B5C">
        <w:rPr>
          <w:rStyle w:val="fontstyle01"/>
          <w:rFonts w:ascii="Arial" w:hAnsi="Arial" w:cs="Arial"/>
          <w:color w:val="auto"/>
        </w:rPr>
        <w:t>-</w:t>
      </w:r>
      <w:r w:rsidRPr="00AB1B5C">
        <w:rPr>
          <w:rStyle w:val="fontstyle01"/>
          <w:rFonts w:ascii="Arial" w:hAnsi="Arial" w:cs="Arial"/>
        </w:rPr>
        <w:t>se que as concentrações testadas estão acima dos parâmetros, por outro lado nas menores concentrações somente 10% dos organismos morreram após a exposição em 48 horas.</w:t>
      </w:r>
    </w:p>
    <w:p w14:paraId="6F42E422" w14:textId="77777777" w:rsidR="008E2318" w:rsidRPr="00AB1B5C" w:rsidRDefault="008E2318" w:rsidP="008E2318">
      <w:pPr>
        <w:ind w:left="142" w:right="91" w:firstLine="567"/>
        <w:jc w:val="both"/>
        <w:rPr>
          <w:rStyle w:val="fontstyle01"/>
          <w:rFonts w:ascii="Arial" w:hAnsi="Arial" w:cs="Arial"/>
        </w:rPr>
      </w:pPr>
      <w:r w:rsidRPr="00AB1B5C">
        <w:rPr>
          <w:rStyle w:val="fontstyle01"/>
          <w:rFonts w:ascii="Arial" w:hAnsi="Arial" w:cs="Arial"/>
        </w:rPr>
        <w:t xml:space="preserve">Uma pesquisa onde se testou a toxicidade de glifosato sobre </w:t>
      </w:r>
      <w:r w:rsidRPr="00AB1B5C">
        <w:rPr>
          <w:rStyle w:val="fontstyle21"/>
          <w:rFonts w:ascii="Arial" w:hAnsi="Arial" w:cs="Arial"/>
        </w:rPr>
        <w:t xml:space="preserve">Danio rero, </w:t>
      </w:r>
      <w:r w:rsidRPr="00AB1B5C">
        <w:rPr>
          <w:rStyle w:val="fontstyle01"/>
          <w:rFonts w:ascii="Arial" w:hAnsi="Arial" w:cs="Arial"/>
        </w:rPr>
        <w:t xml:space="preserve">revelou uma concentração de CL50 de 25 </w:t>
      </w:r>
      <w:r w:rsidR="001B1CDF" w:rsidRPr="00AB1B5C">
        <w:rPr>
          <w:rStyle w:val="fontstyle01"/>
          <w:rFonts w:ascii="Arial" w:hAnsi="Arial" w:cs="Arial"/>
        </w:rPr>
        <w:t>mg.L</w:t>
      </w:r>
      <w:r w:rsidRPr="00AB1B5C">
        <w:rPr>
          <w:rStyle w:val="fontstyle01"/>
          <w:rFonts w:ascii="Arial" w:hAnsi="Arial" w:cs="Arial"/>
          <w:vertAlign w:val="superscript"/>
        </w:rPr>
        <w:t>-1</w:t>
      </w:r>
      <w:r w:rsidRPr="00AB1B5C">
        <w:rPr>
          <w:rStyle w:val="fontstyle01"/>
          <w:rFonts w:ascii="Arial" w:hAnsi="Arial" w:cs="Arial"/>
        </w:rPr>
        <w:t>. Isso corresponde a uma concentração quase 15.000 vezes menor que a utilizada na agricultura. Mas suficiente para causar alterações nos peixes. Conforme observado, demonstraram mudanças no desenvolvimento e mortalidade da bexiga natatória nas primeiras 24 horas do estágio embrionário (PANETTO, 2019).</w:t>
      </w:r>
    </w:p>
    <w:p w14:paraId="7436EBA7" w14:textId="77777777" w:rsidR="008E2318" w:rsidRPr="00AB1B5C" w:rsidRDefault="008E2318" w:rsidP="008E2318">
      <w:pPr>
        <w:ind w:left="142" w:right="91" w:firstLine="567"/>
        <w:jc w:val="both"/>
        <w:rPr>
          <w:rStyle w:val="fontstyle01"/>
          <w:rFonts w:ascii="Arial" w:hAnsi="Arial" w:cs="Arial"/>
        </w:rPr>
      </w:pPr>
      <w:r w:rsidRPr="00AB1B5C">
        <w:rPr>
          <w:rStyle w:val="fontstyle01"/>
          <w:rFonts w:ascii="Arial" w:hAnsi="Arial" w:cs="Arial"/>
        </w:rPr>
        <w:t xml:space="preserve">Boufleuer </w:t>
      </w:r>
      <w:r w:rsidRPr="00AB1B5C">
        <w:rPr>
          <w:rStyle w:val="fontstyle21"/>
          <w:rFonts w:ascii="Arial" w:hAnsi="Arial" w:cs="Arial"/>
        </w:rPr>
        <w:t xml:space="preserve">et al. </w:t>
      </w:r>
      <w:r w:rsidRPr="00AB1B5C">
        <w:rPr>
          <w:rStyle w:val="fontstyle01"/>
          <w:rFonts w:ascii="Arial" w:hAnsi="Arial" w:cs="Arial"/>
        </w:rPr>
        <w:t xml:space="preserve">(2016), avaliaram a mortalidade e reprodução da </w:t>
      </w:r>
      <w:r w:rsidRPr="00AB1B5C">
        <w:rPr>
          <w:rStyle w:val="fontstyle21"/>
          <w:rFonts w:ascii="Arial" w:hAnsi="Arial" w:cs="Arial"/>
        </w:rPr>
        <w:t xml:space="preserve">Daphnia magna </w:t>
      </w:r>
      <w:r w:rsidRPr="00AB1B5C">
        <w:rPr>
          <w:rStyle w:val="fontstyle01"/>
          <w:rFonts w:ascii="Arial" w:hAnsi="Arial" w:cs="Arial"/>
        </w:rPr>
        <w:t xml:space="preserve">submetidas ao glifosato, o teste mostrou o glifosato como limitante a sobrevivência numa concentração de 2,1087 </w:t>
      </w:r>
      <w:r w:rsidR="001B1CDF" w:rsidRPr="00AB1B5C">
        <w:rPr>
          <w:rStyle w:val="fontstyle01"/>
          <w:rFonts w:ascii="Arial" w:hAnsi="Arial" w:cs="Arial"/>
        </w:rPr>
        <w:t>mg.L</w:t>
      </w:r>
      <w:r w:rsidRPr="00AB1B5C">
        <w:rPr>
          <w:rStyle w:val="fontstyle01"/>
          <w:rFonts w:ascii="Arial" w:hAnsi="Arial" w:cs="Arial"/>
          <w:vertAlign w:val="superscript"/>
        </w:rPr>
        <w:t>-1</w:t>
      </w:r>
      <w:r w:rsidRPr="00AB1B5C">
        <w:rPr>
          <w:rStyle w:val="fontstyle01"/>
          <w:rFonts w:ascii="Arial" w:hAnsi="Arial" w:cs="Arial"/>
        </w:rPr>
        <w:t>, em contrapartida, a longo prazo, afetou o índice de reprodução, comprometendo a dinâmica desses organismos.</w:t>
      </w:r>
    </w:p>
    <w:p w14:paraId="79FB56E2" w14:textId="77777777" w:rsidR="008E2318" w:rsidRPr="00AB1B5C" w:rsidRDefault="008E2318">
      <w:pPr>
        <w:pStyle w:val="Ttulo1"/>
      </w:pPr>
    </w:p>
    <w:p w14:paraId="3A4107A0" w14:textId="77777777" w:rsidR="00B61164" w:rsidRPr="00AB1B5C" w:rsidRDefault="0084418E">
      <w:pPr>
        <w:pStyle w:val="Ttulo1"/>
      </w:pPr>
      <w:r w:rsidRPr="00AB1B5C">
        <w:t>CONCLUSÕES</w:t>
      </w:r>
    </w:p>
    <w:p w14:paraId="6BCE51C6" w14:textId="77777777" w:rsidR="00B61164" w:rsidRPr="00AB1B5C" w:rsidRDefault="008E2318" w:rsidP="008E2318">
      <w:pPr>
        <w:pStyle w:val="Corpodetexto"/>
        <w:ind w:left="142" w:firstLine="567"/>
        <w:rPr>
          <w:rFonts w:ascii="Arial" w:hAnsi="Arial" w:cs="Arial"/>
          <w:color w:val="000099"/>
        </w:rPr>
      </w:pPr>
      <w:r w:rsidRPr="00AB1B5C">
        <w:rPr>
          <w:rFonts w:ascii="Arial" w:hAnsi="Arial" w:cs="Arial"/>
        </w:rPr>
        <w:t xml:space="preserve">Considerando os resultados obtidos nesse trabalho, a espécie </w:t>
      </w:r>
      <w:r w:rsidRPr="00AB1B5C">
        <w:rPr>
          <w:rFonts w:ascii="Arial" w:hAnsi="Arial" w:cs="Arial"/>
          <w:i/>
        </w:rPr>
        <w:t>Diaphanosoma</w:t>
      </w:r>
      <w:r w:rsidRPr="00AB1B5C">
        <w:rPr>
          <w:rFonts w:ascii="Arial" w:hAnsi="Arial" w:cs="Arial"/>
        </w:rPr>
        <w:t xml:space="preserve"> sp. </w:t>
      </w:r>
      <w:r w:rsidR="003E70B8" w:rsidRPr="00AB1B5C">
        <w:rPr>
          <w:rFonts w:ascii="Arial" w:hAnsi="Arial" w:cs="Arial"/>
        </w:rPr>
        <w:t>Apresentou</w:t>
      </w:r>
      <w:r w:rsidRPr="00AB1B5C">
        <w:rPr>
          <w:rFonts w:ascii="Arial" w:hAnsi="Arial" w:cs="Arial"/>
        </w:rPr>
        <w:t xml:space="preserve"> a CL50/48h = 1,571 </w:t>
      </w:r>
      <w:r w:rsidR="001B1CDF" w:rsidRPr="00AB1B5C">
        <w:rPr>
          <w:rFonts w:ascii="Arial" w:hAnsi="Arial" w:cs="Arial"/>
        </w:rPr>
        <w:t>mg.L</w:t>
      </w:r>
      <w:r w:rsidRPr="00AB1B5C">
        <w:rPr>
          <w:rStyle w:val="fontstyle01"/>
          <w:rFonts w:ascii="Arial" w:hAnsi="Arial" w:cs="Arial"/>
          <w:vertAlign w:val="superscript"/>
        </w:rPr>
        <w:t>-1</w:t>
      </w:r>
      <w:r w:rsidRPr="00AB1B5C">
        <w:rPr>
          <w:rFonts w:ascii="Arial" w:hAnsi="Arial" w:cs="Arial"/>
        </w:rPr>
        <w:t xml:space="preserve"> para o herbicida glifosato. E ainda, pode-se afirmar que a substância glifosato e seus possíveis lançamentos em corpos d’água pode trazer riscos a organismos aquáticos e ao ambiente.</w:t>
      </w:r>
      <w:r w:rsidRPr="00AB1B5C">
        <w:rPr>
          <w:rFonts w:ascii="Arial" w:hAnsi="Arial" w:cs="Arial"/>
          <w:color w:val="000099"/>
        </w:rPr>
        <w:t xml:space="preserve"> </w:t>
      </w:r>
    </w:p>
    <w:p w14:paraId="65241229" w14:textId="77777777" w:rsidR="008E2318" w:rsidRPr="00AB1B5C" w:rsidRDefault="008E2318" w:rsidP="008E2318">
      <w:pPr>
        <w:pStyle w:val="Corpodetexto"/>
        <w:ind w:left="142" w:firstLine="567"/>
        <w:rPr>
          <w:rFonts w:ascii="Arial" w:hAnsi="Arial" w:cs="Arial"/>
        </w:rPr>
      </w:pPr>
    </w:p>
    <w:p w14:paraId="33D9AB34" w14:textId="77777777" w:rsidR="00B61164" w:rsidRPr="00AB1B5C" w:rsidRDefault="0084418E">
      <w:pPr>
        <w:pStyle w:val="Ttulo1"/>
      </w:pPr>
      <w:r w:rsidRPr="00AB1B5C">
        <w:t>REFERÊNCIAS</w:t>
      </w:r>
    </w:p>
    <w:p w14:paraId="76130239" w14:textId="77777777" w:rsidR="00FE5305" w:rsidRPr="00AB1B5C" w:rsidRDefault="00FE5305" w:rsidP="00FE5305">
      <w:pPr>
        <w:pStyle w:val="Corpodetexto"/>
        <w:ind w:firstLine="573"/>
        <w:rPr>
          <w:rFonts w:ascii="Arial" w:hAnsi="Arial" w:cs="Arial"/>
        </w:rPr>
      </w:pPr>
      <w:r w:rsidRPr="00AB1B5C">
        <w:rPr>
          <w:rFonts w:ascii="Arial" w:hAnsi="Arial" w:cs="Arial"/>
        </w:rPr>
        <w:t xml:space="preserve">ABNT - Associação Brasileira de Normas Técnicas NBR 12713: </w:t>
      </w:r>
      <w:r w:rsidRPr="00AB1B5C">
        <w:rPr>
          <w:rFonts w:ascii="Arial" w:hAnsi="Arial" w:cs="Arial"/>
          <w:b/>
        </w:rPr>
        <w:t xml:space="preserve">Ecotoxicologia aquática Toxicidade Aguda – Método de ensaio com </w:t>
      </w:r>
      <w:r w:rsidRPr="00AB1B5C">
        <w:rPr>
          <w:rFonts w:ascii="Arial" w:hAnsi="Arial" w:cs="Arial"/>
          <w:b/>
          <w:i/>
        </w:rPr>
        <w:t>Daphnia</w:t>
      </w:r>
      <w:r w:rsidRPr="00AB1B5C">
        <w:rPr>
          <w:rFonts w:ascii="Arial" w:hAnsi="Arial" w:cs="Arial"/>
          <w:b/>
        </w:rPr>
        <w:t xml:space="preserve"> spp. (Cladocera, Crustacea)</w:t>
      </w:r>
      <w:r w:rsidRPr="00AB1B5C">
        <w:rPr>
          <w:rFonts w:ascii="Arial" w:hAnsi="Arial" w:cs="Arial"/>
        </w:rPr>
        <w:t>. Rio de Janeiro, 2004. 21p.</w:t>
      </w:r>
    </w:p>
    <w:p w14:paraId="52494728" w14:textId="77777777" w:rsidR="00FE5305" w:rsidRPr="00AB1B5C" w:rsidRDefault="00FE5305" w:rsidP="00FE5305">
      <w:pPr>
        <w:pStyle w:val="Corpodetexto"/>
        <w:ind w:firstLine="573"/>
        <w:rPr>
          <w:rFonts w:ascii="Arial" w:hAnsi="Arial" w:cs="Arial"/>
        </w:rPr>
      </w:pPr>
      <w:r w:rsidRPr="00AB1B5C">
        <w:rPr>
          <w:rFonts w:ascii="Arial" w:hAnsi="Arial" w:cs="Arial"/>
        </w:rPr>
        <w:t xml:space="preserve">ABRASCO, ASSOCIAÇAO BRASILEIRA DE SAÚDE COLETIVA. Dossiê ABRASCO – </w:t>
      </w:r>
      <w:r w:rsidRPr="00AB1B5C">
        <w:rPr>
          <w:rFonts w:ascii="Arial" w:hAnsi="Arial" w:cs="Arial"/>
          <w:b/>
        </w:rPr>
        <w:t>Um alerta sobre os impactos dos Agrotóxicos na Saúde</w:t>
      </w:r>
      <w:r w:rsidRPr="00AB1B5C">
        <w:rPr>
          <w:rFonts w:ascii="Arial" w:hAnsi="Arial" w:cs="Arial"/>
        </w:rPr>
        <w:t>. Disponível em: &lt;www.abrasco.org.br.&gt; Acesso em 28/11/2020.</w:t>
      </w:r>
    </w:p>
    <w:p w14:paraId="603BAC83" w14:textId="77777777" w:rsidR="00FE5305" w:rsidRPr="00AB1B5C" w:rsidRDefault="00FE5305" w:rsidP="00FE5305">
      <w:pPr>
        <w:pStyle w:val="Corpodetexto"/>
        <w:ind w:firstLine="573"/>
        <w:rPr>
          <w:rFonts w:ascii="Arial" w:hAnsi="Arial" w:cs="Arial"/>
        </w:rPr>
      </w:pPr>
      <w:r w:rsidRPr="00AB1B5C">
        <w:rPr>
          <w:rFonts w:ascii="Arial" w:hAnsi="Arial" w:cs="Arial"/>
        </w:rPr>
        <w:t xml:space="preserve">AGÊNCIA NACIONAL DE VIGILÂNCIA SANITÁRIA (ANVISA). </w:t>
      </w:r>
      <w:r w:rsidRPr="00AB1B5C">
        <w:rPr>
          <w:rFonts w:ascii="Arial" w:hAnsi="Arial" w:cs="Arial"/>
          <w:b/>
        </w:rPr>
        <w:t>A regulação e o mercado de agrotóxicos no Brasil</w:t>
      </w:r>
      <w:r w:rsidRPr="00AB1B5C">
        <w:rPr>
          <w:rFonts w:ascii="Arial" w:hAnsi="Arial" w:cs="Arial"/>
        </w:rPr>
        <w:t>. Brasília: ANVISA; 2012.</w:t>
      </w:r>
    </w:p>
    <w:p w14:paraId="6C55F567" w14:textId="77777777" w:rsidR="00FE5305" w:rsidRPr="00AB1B5C" w:rsidRDefault="00FE5305" w:rsidP="00FE5305">
      <w:pPr>
        <w:pStyle w:val="Corpodetexto"/>
        <w:ind w:firstLine="573"/>
        <w:rPr>
          <w:rFonts w:ascii="Arial" w:hAnsi="Arial" w:cs="Arial"/>
        </w:rPr>
      </w:pPr>
      <w:r w:rsidRPr="00AB1B5C">
        <w:rPr>
          <w:rFonts w:ascii="Arial" w:hAnsi="Arial" w:cs="Arial"/>
        </w:rPr>
        <w:t>ALBINATI, A. C. L. MOREIRA, E. L. T.; ALBINATI, R. C. B.; CARVALHO, J. V.; SANTOS, G. B.; LIRA, A. D. Toxicidade aguda do herbicida roundup® para piauçu (</w:t>
      </w:r>
      <w:r w:rsidRPr="00AB1B5C">
        <w:rPr>
          <w:rFonts w:ascii="Arial" w:hAnsi="Arial" w:cs="Arial"/>
          <w:i/>
        </w:rPr>
        <w:t>Leporinus macrocephalus</w:t>
      </w:r>
      <w:r w:rsidRPr="00AB1B5C">
        <w:rPr>
          <w:rFonts w:ascii="Arial" w:hAnsi="Arial" w:cs="Arial"/>
        </w:rPr>
        <w:t xml:space="preserve">). </w:t>
      </w:r>
      <w:r w:rsidRPr="00AB1B5C">
        <w:rPr>
          <w:rFonts w:ascii="Arial" w:hAnsi="Arial" w:cs="Arial"/>
          <w:b/>
        </w:rPr>
        <w:t>Revista Brasileira de</w:t>
      </w:r>
      <w:r w:rsidRPr="00AB1B5C">
        <w:rPr>
          <w:rFonts w:ascii="Arial" w:hAnsi="Arial" w:cs="Arial"/>
          <w:b/>
        </w:rPr>
        <w:br/>
        <w:t>Saúde e Produção Animal</w:t>
      </w:r>
      <w:r w:rsidRPr="00AB1B5C">
        <w:rPr>
          <w:rFonts w:ascii="Arial" w:hAnsi="Arial" w:cs="Arial"/>
        </w:rPr>
        <w:t>, v.8, n.3, p.184-192, 2007.</w:t>
      </w:r>
    </w:p>
    <w:p w14:paraId="38B46C20" w14:textId="77777777" w:rsidR="00FE5305" w:rsidRPr="00AB1B5C" w:rsidRDefault="00FE5305" w:rsidP="00FE5305">
      <w:pPr>
        <w:pStyle w:val="Corpodetexto"/>
        <w:ind w:firstLine="573"/>
        <w:rPr>
          <w:rFonts w:ascii="Arial" w:hAnsi="Arial" w:cs="Arial"/>
        </w:rPr>
      </w:pPr>
      <w:r w:rsidRPr="00AB1B5C">
        <w:rPr>
          <w:rFonts w:ascii="Arial" w:hAnsi="Arial" w:cs="Arial"/>
          <w:lang w:val="pt-BR"/>
        </w:rPr>
        <w:t xml:space="preserve">BOUFLEUER, E. M. S.; </w:t>
      </w:r>
      <w:r w:rsidRPr="00AB1B5C">
        <w:rPr>
          <w:rFonts w:ascii="Arial" w:hAnsi="Arial" w:cs="Arial"/>
          <w:shd w:val="clear" w:color="auto" w:fill="FFFFFF"/>
          <w:lang w:val="pt-BR"/>
        </w:rPr>
        <w:t>ROCKER, C.; DALEASTE, R, SEBASTIEN N.Y.; PETRIKOSK, S. M</w:t>
      </w:r>
      <w:r w:rsidRPr="00AB1B5C">
        <w:rPr>
          <w:rFonts w:ascii="Arial" w:hAnsi="Arial" w:cs="Arial"/>
          <w:lang w:val="pt-BR"/>
        </w:rPr>
        <w:t xml:space="preserve">. </w:t>
      </w:r>
      <w:r w:rsidRPr="00AB1B5C">
        <w:rPr>
          <w:rFonts w:ascii="Arial" w:hAnsi="Arial" w:cs="Arial"/>
        </w:rPr>
        <w:t xml:space="preserve">Avaliação da mortalidade e reprodução de </w:t>
      </w:r>
      <w:r w:rsidRPr="00AB1B5C">
        <w:rPr>
          <w:rFonts w:ascii="Arial" w:hAnsi="Arial" w:cs="Arial"/>
          <w:i/>
        </w:rPr>
        <w:t>Daphnia magna</w:t>
      </w:r>
      <w:r w:rsidRPr="00AB1B5C">
        <w:rPr>
          <w:rFonts w:ascii="Arial" w:hAnsi="Arial" w:cs="Arial"/>
        </w:rPr>
        <w:t xml:space="preserve"> submetida ao herbicida Glifosato. </w:t>
      </w:r>
      <w:r w:rsidRPr="00AB1B5C">
        <w:rPr>
          <w:rFonts w:ascii="Arial" w:hAnsi="Arial" w:cs="Arial"/>
          <w:b/>
        </w:rPr>
        <w:t>Acta Iguazu</w:t>
      </w:r>
      <w:r w:rsidRPr="00AB1B5C">
        <w:rPr>
          <w:rFonts w:ascii="Arial" w:hAnsi="Arial" w:cs="Arial"/>
        </w:rPr>
        <w:t>, v.5, n.5, p.25-33, 2016.</w:t>
      </w:r>
    </w:p>
    <w:p w14:paraId="7CA4DD44" w14:textId="77777777" w:rsidR="00FE5305" w:rsidRPr="00AB1B5C" w:rsidRDefault="00FE5305" w:rsidP="00FE5305">
      <w:pPr>
        <w:pStyle w:val="Corpodetexto"/>
        <w:ind w:firstLine="573"/>
        <w:rPr>
          <w:rFonts w:ascii="Arial" w:hAnsi="Arial" w:cs="Arial"/>
        </w:rPr>
      </w:pPr>
      <w:r w:rsidRPr="00AB1B5C">
        <w:rPr>
          <w:rFonts w:ascii="Arial" w:hAnsi="Arial" w:cs="Arial"/>
        </w:rPr>
        <w:t xml:space="preserve">BRASIL. Conselho Nacional do Meio Ambiente Resolução CONAMA nº. 357/2005, 17 de março de 2005. </w:t>
      </w:r>
      <w:r w:rsidRPr="00AB1B5C">
        <w:rPr>
          <w:rFonts w:ascii="Arial" w:hAnsi="Arial" w:cs="Arial"/>
          <w:b/>
        </w:rPr>
        <w:t>Dispõe sobre a classificação dos corpos de água e diretrizes ambientais</w:t>
      </w:r>
      <w:r w:rsidRPr="00AB1B5C">
        <w:rPr>
          <w:rFonts w:ascii="Arial" w:hAnsi="Arial" w:cs="Arial"/>
        </w:rPr>
        <w:t>. Diário Oficial da República Federativa do Brasil. 2005.</w:t>
      </w:r>
    </w:p>
    <w:p w14:paraId="5BC96B25" w14:textId="77777777" w:rsidR="00FE5305" w:rsidRPr="00AB1B5C" w:rsidRDefault="00FE5305" w:rsidP="00FE5305">
      <w:pPr>
        <w:pStyle w:val="Corpodetexto"/>
        <w:ind w:firstLine="573"/>
        <w:rPr>
          <w:rFonts w:ascii="Arial" w:hAnsi="Arial" w:cs="Arial"/>
          <w:lang w:val="en-US"/>
        </w:rPr>
      </w:pPr>
      <w:r w:rsidRPr="00AB1B5C">
        <w:rPr>
          <w:rFonts w:ascii="Arial" w:hAnsi="Arial" w:cs="Arial"/>
        </w:rPr>
        <w:t xml:space="preserve">GHERARDI-GOLDSTEIN, E. </w:t>
      </w:r>
      <w:r w:rsidRPr="00AB1B5C">
        <w:rPr>
          <w:rFonts w:ascii="Arial" w:hAnsi="Arial" w:cs="Arial"/>
          <w:color w:val="222222"/>
          <w:shd w:val="clear" w:color="auto" w:fill="FFFFFF"/>
        </w:rPr>
        <w:t>E.;</w:t>
      </w:r>
      <w:r w:rsidRPr="00AB1B5C">
        <w:rPr>
          <w:rFonts w:ascii="Arial" w:hAnsi="Arial" w:cs="Arial"/>
          <w:color w:val="222222"/>
          <w:sz w:val="20"/>
          <w:szCs w:val="20"/>
          <w:shd w:val="clear" w:color="auto" w:fill="FFFFFF"/>
        </w:rPr>
        <w:t xml:space="preserve"> </w:t>
      </w:r>
      <w:r w:rsidRPr="00AB1B5C">
        <w:rPr>
          <w:rFonts w:ascii="Arial" w:hAnsi="Arial" w:cs="Arial"/>
          <w:color w:val="222222"/>
          <w:shd w:val="clear" w:color="auto" w:fill="FFFFFF"/>
        </w:rPr>
        <w:t>BERTOLETTI, E.; ZAGATTO, P. A.; ARAÚJO, R. A.; RAMOS, M. L. L. C</w:t>
      </w:r>
      <w:r w:rsidRPr="00AB1B5C">
        <w:rPr>
          <w:rFonts w:ascii="Arial" w:hAnsi="Arial" w:cs="Arial"/>
        </w:rPr>
        <w:t xml:space="preserve">. </w:t>
      </w:r>
      <w:r w:rsidRPr="00AB1B5C">
        <w:rPr>
          <w:rFonts w:ascii="Arial" w:hAnsi="Arial" w:cs="Arial"/>
          <w:b/>
        </w:rPr>
        <w:t>Procedimentos para utilização de testes de toxicidade no controle de efluentes líquidos</w:t>
      </w:r>
      <w:r w:rsidRPr="00AB1B5C">
        <w:rPr>
          <w:rFonts w:ascii="Arial" w:hAnsi="Arial" w:cs="Arial"/>
        </w:rPr>
        <w:t xml:space="preserve">. </w:t>
      </w:r>
      <w:r w:rsidRPr="00AB1B5C">
        <w:rPr>
          <w:rFonts w:ascii="Arial" w:hAnsi="Arial" w:cs="Arial"/>
          <w:lang w:val="en-US"/>
        </w:rPr>
        <w:t>CETESB, São Paulo, Série manuais, v.6, p.17, 1990.</w:t>
      </w:r>
    </w:p>
    <w:p w14:paraId="59204494" w14:textId="77777777" w:rsidR="00FE5305" w:rsidRPr="00AB1B5C" w:rsidRDefault="00FE5305" w:rsidP="00FE5305">
      <w:pPr>
        <w:pStyle w:val="Corpodetexto"/>
        <w:ind w:firstLine="573"/>
        <w:rPr>
          <w:rFonts w:ascii="Arial" w:hAnsi="Arial" w:cs="Arial"/>
          <w:lang w:val="en-US"/>
        </w:rPr>
      </w:pPr>
      <w:r w:rsidRPr="00AB1B5C">
        <w:rPr>
          <w:rFonts w:ascii="Arial" w:hAnsi="Arial" w:cs="Arial"/>
          <w:lang w:val="en-US"/>
        </w:rPr>
        <w:t xml:space="preserve">HAMILTON, M. A.; </w:t>
      </w:r>
      <w:r w:rsidRPr="00AB1B5C">
        <w:rPr>
          <w:rFonts w:ascii="Arial" w:hAnsi="Arial" w:cs="Arial"/>
          <w:color w:val="222222"/>
          <w:shd w:val="clear" w:color="auto" w:fill="FFFFFF"/>
          <w:lang w:val="en-US"/>
        </w:rPr>
        <w:t>RUSSO, R. C.; THURSTON, R. V</w:t>
      </w:r>
      <w:r w:rsidRPr="00AB1B5C">
        <w:rPr>
          <w:rFonts w:ascii="Arial" w:hAnsi="Arial" w:cs="Arial"/>
          <w:color w:val="222222"/>
          <w:sz w:val="20"/>
          <w:szCs w:val="20"/>
          <w:shd w:val="clear" w:color="auto" w:fill="FFFFFF"/>
          <w:lang w:val="en-US"/>
        </w:rPr>
        <w:t>. </w:t>
      </w:r>
      <w:r w:rsidRPr="00AB1B5C">
        <w:rPr>
          <w:rFonts w:ascii="Arial" w:hAnsi="Arial" w:cs="Arial"/>
          <w:lang w:val="en-US"/>
        </w:rPr>
        <w:t>Trimmed Spearman-Karber method for estimating</w:t>
      </w:r>
      <w:r w:rsidRPr="00AB1B5C">
        <w:rPr>
          <w:rFonts w:ascii="Arial" w:hAnsi="Arial" w:cs="Arial"/>
          <w:lang w:val="en-US"/>
        </w:rPr>
        <w:br/>
        <w:t xml:space="preserve">median lethal concentrations in toxicity bioassays. </w:t>
      </w:r>
      <w:r w:rsidRPr="00AB1B5C">
        <w:rPr>
          <w:rFonts w:ascii="Arial" w:hAnsi="Arial" w:cs="Arial"/>
          <w:b/>
          <w:lang w:val="en-US"/>
        </w:rPr>
        <w:t>Environmental Science &amp; Technology</w:t>
      </w:r>
      <w:r w:rsidRPr="00AB1B5C">
        <w:rPr>
          <w:rFonts w:ascii="Arial" w:hAnsi="Arial" w:cs="Arial"/>
          <w:lang w:val="en-US"/>
        </w:rPr>
        <w:t>, v.11, p.714-719, 1977.</w:t>
      </w:r>
    </w:p>
    <w:p w14:paraId="45F3CF50" w14:textId="77777777" w:rsidR="00FE5305" w:rsidRPr="00AB1B5C" w:rsidRDefault="00FE5305" w:rsidP="00FE5305">
      <w:pPr>
        <w:pStyle w:val="Corpodetexto"/>
        <w:ind w:firstLine="573"/>
        <w:rPr>
          <w:rFonts w:ascii="Arial" w:hAnsi="Arial" w:cs="Arial"/>
          <w:lang w:val="en-US"/>
        </w:rPr>
      </w:pPr>
      <w:r w:rsidRPr="00AB1B5C">
        <w:rPr>
          <w:rFonts w:ascii="Arial" w:hAnsi="Arial" w:cs="Arial"/>
          <w:lang w:val="en-US"/>
        </w:rPr>
        <w:t xml:space="preserve">HOFFMAN, D. J. </w:t>
      </w:r>
      <w:r w:rsidRPr="00AB1B5C">
        <w:rPr>
          <w:rFonts w:ascii="Arial" w:hAnsi="Arial" w:cs="Arial"/>
          <w:color w:val="222222"/>
          <w:shd w:val="clear" w:color="auto" w:fill="FFFFFF"/>
          <w:lang w:val="en-US"/>
        </w:rPr>
        <w:t>RATTNER, B. A.; BURTON JR, G. A.; CAIRNS JR, J.</w:t>
      </w:r>
      <w:r w:rsidRPr="00AB1B5C">
        <w:rPr>
          <w:rFonts w:ascii="Arial" w:hAnsi="Arial" w:cs="Arial"/>
          <w:sz w:val="28"/>
          <w:szCs w:val="28"/>
          <w:lang w:val="en-US"/>
        </w:rPr>
        <w:t xml:space="preserve"> </w:t>
      </w:r>
      <w:r w:rsidRPr="00AB1B5C">
        <w:rPr>
          <w:rFonts w:ascii="Arial" w:hAnsi="Arial" w:cs="Arial"/>
          <w:b/>
          <w:lang w:val="en-US"/>
        </w:rPr>
        <w:t>Handbook of Ecotoxicology</w:t>
      </w:r>
      <w:r w:rsidRPr="00AB1B5C">
        <w:rPr>
          <w:rFonts w:ascii="Arial" w:hAnsi="Arial" w:cs="Arial"/>
          <w:lang w:val="en-US"/>
        </w:rPr>
        <w:t>. 2, 2003.</w:t>
      </w:r>
    </w:p>
    <w:p w14:paraId="3564F8F8" w14:textId="77777777" w:rsidR="00FE5305" w:rsidRPr="00AB1B5C" w:rsidRDefault="00FE5305" w:rsidP="00FE5305">
      <w:pPr>
        <w:pStyle w:val="Corpodetexto"/>
        <w:ind w:firstLine="573"/>
        <w:rPr>
          <w:rFonts w:ascii="Arial" w:hAnsi="Arial" w:cs="Arial"/>
          <w:lang w:val="en-US"/>
        </w:rPr>
      </w:pPr>
      <w:r w:rsidRPr="00AB1B5C">
        <w:rPr>
          <w:rFonts w:ascii="Arial" w:hAnsi="Arial" w:cs="Arial"/>
          <w:lang w:val="en-US"/>
        </w:rPr>
        <w:t xml:space="preserve">PANETTO, O. S.; </w:t>
      </w:r>
      <w:r w:rsidRPr="00AB1B5C">
        <w:rPr>
          <w:rFonts w:ascii="Arial" w:hAnsi="Arial" w:cs="Arial"/>
          <w:color w:val="222222"/>
          <w:shd w:val="clear" w:color="auto" w:fill="FFFFFF"/>
          <w:lang w:val="en-US"/>
        </w:rPr>
        <w:t>GOMES, H. F.; GOMES, D. S. F.; CAMPOS, E.; ROMEIRO, N. C.; COSTA, E. P.; MORAES, J</w:t>
      </w:r>
      <w:r w:rsidRPr="00AB1B5C">
        <w:rPr>
          <w:rFonts w:ascii="Arial" w:hAnsi="Arial" w:cs="Arial"/>
          <w:lang w:val="en-US"/>
        </w:rPr>
        <w:t>. The effects of Roundup® in embryo development and energy metabolism of the zebrafish (</w:t>
      </w:r>
      <w:r w:rsidRPr="00AB1B5C">
        <w:rPr>
          <w:rFonts w:ascii="Arial" w:hAnsi="Arial" w:cs="Arial"/>
          <w:i/>
          <w:lang w:val="en-US"/>
        </w:rPr>
        <w:t>Danio rerio</w:t>
      </w:r>
      <w:r w:rsidRPr="00AB1B5C">
        <w:rPr>
          <w:rFonts w:ascii="Arial" w:hAnsi="Arial" w:cs="Arial"/>
          <w:lang w:val="en-US"/>
        </w:rPr>
        <w:t xml:space="preserve">). </w:t>
      </w:r>
      <w:r w:rsidRPr="00AB1B5C">
        <w:rPr>
          <w:rFonts w:ascii="Arial" w:hAnsi="Arial" w:cs="Arial"/>
          <w:b/>
          <w:lang w:val="en-US"/>
        </w:rPr>
        <w:t>Comparative Biochemistry and Physiology Part C: Toxicology &amp; Pharmacology</w:t>
      </w:r>
      <w:r w:rsidRPr="00AB1B5C">
        <w:rPr>
          <w:rFonts w:ascii="Arial" w:hAnsi="Arial" w:cs="Arial"/>
          <w:lang w:val="en-US"/>
        </w:rPr>
        <w:t>, 222: 74-81, 2019.</w:t>
      </w:r>
    </w:p>
    <w:p w14:paraId="7DB011D0" w14:textId="77777777" w:rsidR="00FE5305" w:rsidRPr="00AB1B5C" w:rsidRDefault="00FE5305" w:rsidP="00FE5305">
      <w:pPr>
        <w:pStyle w:val="Corpodetexto"/>
        <w:ind w:firstLine="573"/>
        <w:rPr>
          <w:rFonts w:ascii="Arial" w:hAnsi="Arial" w:cs="Arial"/>
          <w:lang w:val="en-US"/>
        </w:rPr>
      </w:pPr>
      <w:r w:rsidRPr="00AB1B5C">
        <w:rPr>
          <w:rFonts w:ascii="Arial" w:hAnsi="Arial" w:cs="Arial"/>
          <w:lang w:val="en-US"/>
        </w:rPr>
        <w:t xml:space="preserve">SARMA, S. S. S.; NANDINI, S. Review of recent eco toxicological studies on cladocerans. </w:t>
      </w:r>
      <w:r w:rsidRPr="00AB1B5C">
        <w:rPr>
          <w:rFonts w:ascii="Arial" w:hAnsi="Arial" w:cs="Arial"/>
          <w:b/>
          <w:lang w:val="en-US"/>
        </w:rPr>
        <w:t>Journal of Environmental Science and Health</w:t>
      </w:r>
      <w:r w:rsidRPr="00AB1B5C">
        <w:rPr>
          <w:rFonts w:ascii="Arial" w:hAnsi="Arial" w:cs="Arial"/>
          <w:lang w:val="en-US"/>
        </w:rPr>
        <w:t>, v.55, n.41, p.1417-1430, 2006.</w:t>
      </w:r>
    </w:p>
    <w:p w14:paraId="66A862F4" w14:textId="77777777" w:rsidR="00FE5305" w:rsidRPr="00AB1B5C" w:rsidRDefault="00FE5305" w:rsidP="00FE5305">
      <w:pPr>
        <w:pStyle w:val="Corpodetexto"/>
        <w:ind w:firstLine="573"/>
        <w:rPr>
          <w:rFonts w:ascii="Arial" w:hAnsi="Arial" w:cs="Arial"/>
          <w:lang w:val="en-US"/>
        </w:rPr>
      </w:pPr>
      <w:r w:rsidRPr="00AB1B5C">
        <w:rPr>
          <w:rFonts w:ascii="Arial" w:hAnsi="Arial" w:cs="Arial"/>
          <w:lang w:val="en-US"/>
        </w:rPr>
        <w:t xml:space="preserve">WAICHMAN, A. V.; </w:t>
      </w:r>
      <w:r w:rsidRPr="00AB1B5C">
        <w:rPr>
          <w:rFonts w:ascii="Arial" w:hAnsi="Arial" w:cs="Arial"/>
          <w:color w:val="222222"/>
          <w:shd w:val="clear" w:color="auto" w:fill="FFFFFF"/>
          <w:lang w:val="en-US"/>
        </w:rPr>
        <w:t>RÖMBKE, J.; RIBEIRO, M. O. A.; NINA, N.</w:t>
      </w:r>
      <w:r w:rsidRPr="00AB1B5C">
        <w:rPr>
          <w:rFonts w:ascii="Arial" w:hAnsi="Arial" w:cs="Arial"/>
          <w:lang w:val="en-US"/>
        </w:rPr>
        <w:t xml:space="preserve"> Use and fate of pesticides in the Amazon state, Brazil: Risk to human health and the environment. </w:t>
      </w:r>
      <w:r w:rsidRPr="00AB1B5C">
        <w:rPr>
          <w:rFonts w:ascii="Arial" w:hAnsi="Arial" w:cs="Arial"/>
          <w:b/>
          <w:lang w:val="en-US"/>
        </w:rPr>
        <w:t>Environmental Science and Pollution Research</w:t>
      </w:r>
      <w:r w:rsidRPr="00AB1B5C">
        <w:rPr>
          <w:rFonts w:ascii="Arial" w:hAnsi="Arial" w:cs="Arial"/>
          <w:lang w:val="en-US"/>
        </w:rPr>
        <w:t>, v.9, n.6, p.423-428, 2002.</w:t>
      </w:r>
    </w:p>
    <w:p w14:paraId="64E9175C" w14:textId="77777777" w:rsidR="00FE5305" w:rsidRPr="00AB1B5C" w:rsidRDefault="00FE5305" w:rsidP="00FE5305">
      <w:pPr>
        <w:pStyle w:val="Corpodetexto"/>
        <w:ind w:firstLine="573"/>
        <w:rPr>
          <w:rFonts w:ascii="Arial" w:hAnsi="Arial" w:cs="Arial"/>
          <w:lang w:val="en-US"/>
        </w:rPr>
      </w:pPr>
      <w:r w:rsidRPr="00AB1B5C">
        <w:rPr>
          <w:rFonts w:ascii="Arial" w:hAnsi="Arial" w:cs="Arial"/>
          <w:lang w:val="en-US"/>
        </w:rPr>
        <w:t xml:space="preserve">WAICHMAN, A. V.; </w:t>
      </w:r>
      <w:r w:rsidRPr="00AB1B5C">
        <w:rPr>
          <w:rFonts w:ascii="Arial" w:hAnsi="Arial" w:cs="Arial"/>
          <w:color w:val="222222"/>
          <w:shd w:val="clear" w:color="auto" w:fill="FFFFFF"/>
          <w:lang w:val="en-US"/>
        </w:rPr>
        <w:t>RÖMBKE, J.; NINA, N. C. S.</w:t>
      </w:r>
      <w:r w:rsidRPr="00AB1B5C">
        <w:rPr>
          <w:rFonts w:ascii="Arial" w:hAnsi="Arial" w:cs="Arial"/>
          <w:lang w:val="en-US"/>
        </w:rPr>
        <w:t xml:space="preserve"> Agrotóxicos: elemento novo na Amazônia. </w:t>
      </w:r>
      <w:r w:rsidRPr="00AB1B5C">
        <w:rPr>
          <w:rFonts w:ascii="Arial" w:hAnsi="Arial" w:cs="Arial"/>
          <w:b/>
          <w:lang w:val="en-US"/>
        </w:rPr>
        <w:t>Ciência Hoje</w:t>
      </w:r>
      <w:r w:rsidRPr="00AB1B5C">
        <w:rPr>
          <w:rFonts w:ascii="Arial" w:hAnsi="Arial" w:cs="Arial"/>
          <w:lang w:val="en-US"/>
        </w:rPr>
        <w:t>, v.32, n.190, p.70-73, 2003.</w:t>
      </w:r>
    </w:p>
    <w:p w14:paraId="5D3213C4" w14:textId="77777777" w:rsidR="00FE5305" w:rsidRPr="00AB1B5C" w:rsidRDefault="00FE5305" w:rsidP="00FE5305">
      <w:pPr>
        <w:pStyle w:val="Corpodetexto"/>
        <w:ind w:firstLine="573"/>
        <w:rPr>
          <w:rFonts w:ascii="Arial" w:hAnsi="Arial" w:cs="Arial"/>
        </w:rPr>
      </w:pPr>
      <w:r w:rsidRPr="00AB1B5C">
        <w:rPr>
          <w:rFonts w:ascii="Arial" w:hAnsi="Arial" w:cs="Arial"/>
          <w:lang w:val="en-US"/>
        </w:rPr>
        <w:t xml:space="preserve">ZUCKER, E. </w:t>
      </w:r>
      <w:r w:rsidRPr="00AB1B5C">
        <w:rPr>
          <w:rFonts w:ascii="Arial" w:hAnsi="Arial" w:cs="Arial"/>
          <w:b/>
          <w:lang w:val="en-US"/>
        </w:rPr>
        <w:t>Hazard Evaluation Division: Standard Evaluation Procedure – Acute toxicity test for freshwater fish</w:t>
      </w:r>
      <w:r w:rsidRPr="00AB1B5C">
        <w:rPr>
          <w:rFonts w:ascii="Arial" w:hAnsi="Arial" w:cs="Arial"/>
          <w:lang w:val="en-US"/>
        </w:rPr>
        <w:t xml:space="preserve">. </w:t>
      </w:r>
      <w:r w:rsidRPr="00AB1B5C">
        <w:rPr>
          <w:rFonts w:ascii="Arial" w:hAnsi="Arial" w:cs="Arial"/>
        </w:rPr>
        <w:t>Washington, D.C.: USEPA. 1985. 85p.</w:t>
      </w:r>
    </w:p>
    <w:p w14:paraId="0B3AF04B" w14:textId="77777777" w:rsidR="00B61164" w:rsidRPr="00AB1B5C" w:rsidRDefault="00B61164" w:rsidP="00FE5305">
      <w:pPr>
        <w:pStyle w:val="Corpodetexto"/>
        <w:rPr>
          <w:rFonts w:ascii="Arial" w:hAnsi="Arial" w:cs="Arial"/>
        </w:rPr>
      </w:pPr>
    </w:p>
    <w:sectPr w:rsidR="00B61164" w:rsidRPr="00AB1B5C">
      <w:headerReference w:type="default" r:id="rId7"/>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4B44" w14:textId="77777777" w:rsidR="00E4077F" w:rsidRDefault="00E4077F">
      <w:r>
        <w:separator/>
      </w:r>
    </w:p>
  </w:endnote>
  <w:endnote w:type="continuationSeparator" w:id="0">
    <w:p w14:paraId="53011EB2" w14:textId="77777777" w:rsidR="00E4077F" w:rsidRDefault="00E4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C2CC" w14:textId="77777777" w:rsidR="00E4077F" w:rsidRDefault="00E4077F">
      <w:r>
        <w:separator/>
      </w:r>
    </w:p>
  </w:footnote>
  <w:footnote w:type="continuationSeparator" w:id="0">
    <w:p w14:paraId="6F4A722D" w14:textId="77777777" w:rsidR="00E4077F" w:rsidRDefault="00E4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0BFB" w14:textId="77777777" w:rsidR="00B61164" w:rsidRDefault="0084418E">
    <w:pPr>
      <w:pStyle w:val="Corpodetexto"/>
      <w:spacing w:line="14" w:lineRule="auto"/>
      <w:ind w:left="0"/>
      <w:jc w:val="left"/>
      <w:rPr>
        <w:sz w:val="20"/>
      </w:rPr>
    </w:pPr>
    <w:r>
      <w:rPr>
        <w:noProof/>
        <w:lang w:val="pt-BR" w:eastAsia="pt-BR"/>
      </w:rPr>
      <w:drawing>
        <wp:anchor distT="0" distB="0" distL="0" distR="0" simplePos="0" relativeHeight="487503360" behindDoc="1" locked="0" layoutInCell="1" allowOverlap="1" wp14:anchorId="45F011CA" wp14:editId="25E752BE">
          <wp:simplePos x="0" y="0"/>
          <wp:positionH relativeFrom="page">
            <wp:posOffset>89536</wp:posOffset>
          </wp:positionH>
          <wp:positionV relativeFrom="page">
            <wp:posOffset>90169</wp:posOffset>
          </wp:positionV>
          <wp:extent cx="7381240" cy="141859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164"/>
    <w:rsid w:val="000A7C77"/>
    <w:rsid w:val="000D2679"/>
    <w:rsid w:val="001B1CDF"/>
    <w:rsid w:val="00206189"/>
    <w:rsid w:val="002154F7"/>
    <w:rsid w:val="002674BA"/>
    <w:rsid w:val="003622AB"/>
    <w:rsid w:val="00385115"/>
    <w:rsid w:val="003E580F"/>
    <w:rsid w:val="003E6930"/>
    <w:rsid w:val="003E70B8"/>
    <w:rsid w:val="00534993"/>
    <w:rsid w:val="005630A2"/>
    <w:rsid w:val="0060474D"/>
    <w:rsid w:val="00614466"/>
    <w:rsid w:val="006764C3"/>
    <w:rsid w:val="0072778F"/>
    <w:rsid w:val="0074206E"/>
    <w:rsid w:val="0075602C"/>
    <w:rsid w:val="008042F7"/>
    <w:rsid w:val="00821F72"/>
    <w:rsid w:val="0084418E"/>
    <w:rsid w:val="008E2318"/>
    <w:rsid w:val="0090114C"/>
    <w:rsid w:val="0096781C"/>
    <w:rsid w:val="009A2850"/>
    <w:rsid w:val="009A5E27"/>
    <w:rsid w:val="00A10A30"/>
    <w:rsid w:val="00A2401F"/>
    <w:rsid w:val="00A323C3"/>
    <w:rsid w:val="00A5453B"/>
    <w:rsid w:val="00A97089"/>
    <w:rsid w:val="00AB1B5C"/>
    <w:rsid w:val="00AE7265"/>
    <w:rsid w:val="00B61164"/>
    <w:rsid w:val="00D62327"/>
    <w:rsid w:val="00DE7C1A"/>
    <w:rsid w:val="00E25566"/>
    <w:rsid w:val="00E4077F"/>
    <w:rsid w:val="00E74A18"/>
    <w:rsid w:val="00EE407C"/>
    <w:rsid w:val="00F22580"/>
    <w:rsid w:val="00F850A8"/>
    <w:rsid w:val="00FC1C99"/>
    <w:rsid w:val="00FC5CDE"/>
    <w:rsid w:val="00FE5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1EA3"/>
  <w15:docId w15:val="{64151BF4-E990-4321-9816-9FAB032B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22"/>
      <w:outlineLvl w:val="0"/>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2154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22"/>
      <w:jc w:val="both"/>
    </w:pPr>
    <w:rPr>
      <w:sz w:val="24"/>
      <w:szCs w:val="24"/>
    </w:rPr>
  </w:style>
  <w:style w:type="paragraph" w:styleId="Ttulo">
    <w:name w:val="Title"/>
    <w:basedOn w:val="Normal"/>
    <w:uiPriority w:val="1"/>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character" w:customStyle="1" w:styleId="CorpodetextoChar">
    <w:name w:val="Corpo de texto Char"/>
    <w:basedOn w:val="Fontepargpadro"/>
    <w:link w:val="Corpodetexto"/>
    <w:uiPriority w:val="1"/>
    <w:rsid w:val="0072778F"/>
    <w:rPr>
      <w:rFonts w:ascii="Arial MT" w:eastAsia="Arial MT" w:hAnsi="Arial MT" w:cs="Arial MT"/>
      <w:sz w:val="24"/>
      <w:szCs w:val="24"/>
      <w:lang w:val="pt-PT"/>
    </w:rPr>
  </w:style>
  <w:style w:type="character" w:customStyle="1" w:styleId="fontstyle01">
    <w:name w:val="fontstyle01"/>
    <w:basedOn w:val="Fontepargpadro"/>
    <w:rsid w:val="008E2318"/>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8E2318"/>
    <w:rPr>
      <w:rFonts w:ascii="TimesNewRomanPS-ItalicMT" w:hAnsi="TimesNewRomanPS-ItalicMT" w:hint="default"/>
      <w:b w:val="0"/>
      <w:bCs w:val="0"/>
      <w:i/>
      <w:iCs/>
      <w:color w:val="000000"/>
      <w:sz w:val="24"/>
      <w:szCs w:val="24"/>
    </w:rPr>
  </w:style>
  <w:style w:type="character" w:customStyle="1" w:styleId="Ttulo3Char">
    <w:name w:val="Título 3 Char"/>
    <w:basedOn w:val="Fontepargpadro"/>
    <w:link w:val="Ttulo3"/>
    <w:uiPriority w:val="9"/>
    <w:semiHidden/>
    <w:rsid w:val="002154F7"/>
    <w:rPr>
      <w:rFonts w:asciiTheme="majorHAnsi" w:eastAsiaTheme="majorEastAsia" w:hAnsiTheme="majorHAnsi" w:cstheme="majorBidi"/>
      <w:color w:val="243F60" w:themeColor="accent1" w:themeShade="7F"/>
      <w:sz w:val="24"/>
      <w:szCs w:val="24"/>
      <w:lang w:val="pt-PT"/>
    </w:rPr>
  </w:style>
  <w:style w:type="character" w:styleId="Hyperlink">
    <w:name w:val="Hyperlink"/>
    <w:basedOn w:val="Fontepargpadro"/>
    <w:uiPriority w:val="99"/>
    <w:unhideWhenUsed/>
    <w:rsid w:val="00A323C3"/>
    <w:rPr>
      <w:color w:val="0000FF" w:themeColor="hyperlink"/>
      <w:u w:val="single"/>
    </w:rPr>
  </w:style>
  <w:style w:type="character" w:styleId="Refdecomentrio">
    <w:name w:val="annotation reference"/>
    <w:basedOn w:val="Fontepargpadro"/>
    <w:uiPriority w:val="99"/>
    <w:semiHidden/>
    <w:unhideWhenUsed/>
    <w:rsid w:val="00534993"/>
    <w:rPr>
      <w:sz w:val="16"/>
      <w:szCs w:val="16"/>
    </w:rPr>
  </w:style>
  <w:style w:type="paragraph" w:styleId="Textodecomentrio">
    <w:name w:val="annotation text"/>
    <w:basedOn w:val="Normal"/>
    <w:link w:val="TextodecomentrioChar"/>
    <w:uiPriority w:val="99"/>
    <w:semiHidden/>
    <w:unhideWhenUsed/>
    <w:rsid w:val="00534993"/>
    <w:rPr>
      <w:sz w:val="20"/>
      <w:szCs w:val="20"/>
    </w:rPr>
  </w:style>
  <w:style w:type="character" w:customStyle="1" w:styleId="TextodecomentrioChar">
    <w:name w:val="Texto de comentário Char"/>
    <w:basedOn w:val="Fontepargpadro"/>
    <w:link w:val="Textodecomentrio"/>
    <w:uiPriority w:val="99"/>
    <w:semiHidden/>
    <w:rsid w:val="0053499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34993"/>
    <w:rPr>
      <w:b/>
      <w:bCs/>
    </w:rPr>
  </w:style>
  <w:style w:type="character" w:customStyle="1" w:styleId="AssuntodocomentrioChar">
    <w:name w:val="Assunto do comentário Char"/>
    <w:basedOn w:val="TextodecomentrioChar"/>
    <w:link w:val="Assuntodocomentrio"/>
    <w:uiPriority w:val="99"/>
    <w:semiHidden/>
    <w:rsid w:val="00534993"/>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534993"/>
    <w:rPr>
      <w:rFonts w:ascii="Tahoma" w:hAnsi="Tahoma" w:cs="Tahoma"/>
      <w:sz w:val="16"/>
      <w:szCs w:val="16"/>
    </w:rPr>
  </w:style>
  <w:style w:type="character" w:customStyle="1" w:styleId="TextodebaloChar">
    <w:name w:val="Texto de balão Char"/>
    <w:basedOn w:val="Fontepargpadro"/>
    <w:link w:val="Textodebalo"/>
    <w:uiPriority w:val="99"/>
    <w:semiHidden/>
    <w:rsid w:val="00534993"/>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4640">
      <w:bodyDiv w:val="1"/>
      <w:marLeft w:val="0"/>
      <w:marRight w:val="0"/>
      <w:marTop w:val="0"/>
      <w:marBottom w:val="0"/>
      <w:divBdr>
        <w:top w:val="none" w:sz="0" w:space="0" w:color="auto"/>
        <w:left w:val="none" w:sz="0" w:space="0" w:color="auto"/>
        <w:bottom w:val="none" w:sz="0" w:space="0" w:color="auto"/>
        <w:right w:val="none" w:sz="0" w:space="0" w:color="auto"/>
      </w:divBdr>
    </w:div>
    <w:div w:id="166658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1708</Words>
  <Characters>9228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Filomena Almeida</dc:creator>
  <cp:lastModifiedBy>Patrick Gomes Avelino</cp:lastModifiedBy>
  <cp:revision>10</cp:revision>
  <dcterms:created xsi:type="dcterms:W3CDTF">2022-08-31T06:28:00Z</dcterms:created>
  <dcterms:modified xsi:type="dcterms:W3CDTF">2022-11-25T18:01:00Z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2022-08-20T00:00:00Z</vt:filetime>
  </property>
</Properties>
</file>