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FUNDAMENTOS DE CURADORIA DIGITAL E MODELOS CONCEITUAIS DA IFLA: REFLEXÕES E APONTAMENTOS</w:t>
      </w: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FUNDAMENTALS OF DIGITAL CURATION AND IFLA'S CONCEPTUAL MODELS: REFLECTIONS AND NOTES</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120" w:before="120" w:line="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06">
      <w:pPr>
        <w:spacing w:after="120" w:before="12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Coleções especiais em bibliotecas possuem diversas camadas de informação e de memória, frequentemente não acessíveis para o pesquisador tanto na bibliosfera quanto na infosfera. A representação descritiva e temática detalhada da coleção e de seus itens permitiria a multiplicação de pontos de acesso e aumentaria as chances de localização pelo usuário. O estudo enfoca os fundamentos da curadoria digital e explora as relações com a representação descritiva das coleções especiais bibliográficas, em especial os modelos conceituais da IFLA (International Federation of Library Associations and Institutions). A metodologia adotada partiu da pesquisa bibliográfica em bases de dados nacionais e estrangeiras, seguida de seleção dos textos considerados mais pertinentes para identificar as reflexões e apontamentos para delinear a triangulação entre curadoria digital, modelos conceituais de representação e coleções especiais bibliográficas. No universo bibliográfico, diante da evolução dos princípios internacionais de catalogação, temos a coexistência da catalogação tradicional e da moderna, a primeira baseada em dados de autoridade e bibliográficos, e a segunda, em entidades-relacionamento e em linked data. E a representação dos acervos e coleções em catálogos deve permitir a realização das tarefas do usuário de forma eficiente (encontrar - identificar - selecionar - obter - explorar). Em relação a coleções especiais, é preciso considerar livros e bibliotecas além de seu aspecto informativo, analisando o livro como objeto e como artefato, e as coleções de bibliotecas como expressão de “vozes” de seus colecionadores e formadores, e ainda a singularidade trazida pela sinergia do contexto institucional com seus acervos. Dentre os fundamentos da curadoria  digital, destacam-se a articulação entre gestão, preservação e curadoria digital, as ações possíveis por diversos atores no ciclo da curadoria (seleção/recebimento, digitalização/captura, criação de sites e plataformas de distribuição, administradores, instituições), os padrões e recomendações para a identificação e seleção de conteúdos, incluindo a consideração da influência de contextos históricos, políticos, intelectuais e econômicos, e o envolvimento com a comunidade. A análise dessa tríade - modelos conceituais - coleções especiais - curadoria digital - revela possibilidade de expressão e registro da polifonia de vozes nos acervos bibliográficos. Bibliotecas são órgãos ou setores longevos, muitas vezes, um dos espaços de memória mais antigos em suas instituições, acumulando documentos, informações, histórias e memórias, cujo registro naturalmente é de responsabilidade das suas equipes e dos bibliotecários. As várias camadas de informação e memória, além de objeto de trabalho das equipes bibliotecárias, também é um campo de estudo e pesquisa para a academia e um patrimônio a ser usufruído pela sociedade.</w:t>
      </w:r>
    </w:p>
    <w:p w:rsidR="00000000" w:rsidDel="00000000" w:rsidP="00000000" w:rsidRDefault="00000000" w:rsidRPr="00000000" w14:paraId="00000007">
      <w:pPr>
        <w:spacing w:after="120" w:before="12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Catalogação bibliográfica. Coleções especiais. Curadoria digital. Memória. Modelos conceituais da IFLA.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120" w:before="120" w:line="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A">
      <w:pPr>
        <w:spacing w:after="240" w:before="24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collections in libraries have several layers of information and memory, often not accessible to the researcher in either the bibliosphere or the infosphere. A detailed descriptive and thematic representation of the collection and its items would allow the multiplication of access points and increase the chances of locating them by the user. The study focuses on the fundamentals of digital curation and explores the relationship with the descriptive representation of bibliographic special collections, in particular the conceptual models of IFLA (International Federation of Library Associations and Institutions). The methodology adopted started with a bibliographic search in national and foreign databases, followed by a selection of the texts considered most pertinent in order to identify the reflections and notes to outline the triangulation between digital curation, conceptual models of representation and bibliographic special collections. In the bibliographic universe, given the evolution of international cataloging principles, we have the coexistence of traditional and modern cataloging, the former based on authority and bibliographic data, and the latter on entity-relationship and linked data. And the representation of holdings and collections in catalogs must enable users to perform their tasks efficiently (find - identify - select - obtain - explore). With regard to special collections, it is necessary to consider books and libraries beyond their informational aspect, analyzing the book as an object and as an artifact, and library collections as an expression of the “voices” of their collectors and formers, as well as the uniqueness brought about by the synergy of the institutional context with their collections. The fundamentals of digital curation include the link between digital stewardship, preservation and curation, the actions possible by various actors in the curation cycle (selection/receipt, digitization/capture, creation of websites and distribution platforms, administrators, institutions), the standards and recommendations for identifying and selecting content, including consideration of the influence of historical, political, intellectual and economic contexts, and community involvement. The analysis of this triad - conceptual models - special collections - digital curation - reveals the possibility of expressing and recording the polyphony of voices in bibliographic collections. Libraries are long-lived bodies or sectors, often one of the oldest memory spaces in their institutions, accumulating documents, information, stories and memories, the recording of which is naturally the responsibility of their staff and librarians. The various layers of information and memory, as well as being the object of work for library teams, are also a field of study and research for academia and a heritage to be enjoyed by society.</w:t>
      </w:r>
    </w:p>
    <w:p w:rsidR="00000000" w:rsidDel="00000000" w:rsidP="00000000" w:rsidRDefault="00000000" w:rsidRPr="00000000" w14:paraId="0000000B">
      <w:pPr>
        <w:spacing w:after="120" w:before="12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 </w:t>
      </w:r>
      <w:r w:rsidDel="00000000" w:rsidR="00000000" w:rsidRPr="00000000">
        <w:rPr>
          <w:rFonts w:ascii="Times New Roman" w:cs="Times New Roman" w:eastAsia="Times New Roman" w:hAnsi="Times New Roman"/>
          <w:rtl w:val="0"/>
        </w:rPr>
        <w:t xml:space="preserve">Bibliographic cataloging. Digital curation. IFLA conceptual models. Memory. Special collections.</w:t>
      </w:r>
    </w:p>
    <w:p w:rsidR="00000000" w:rsidDel="00000000" w:rsidP="00000000" w:rsidRDefault="00000000" w:rsidRPr="00000000" w14:paraId="0000000C">
      <w:pPr>
        <w:rPr/>
      </w:pPr>
      <w:r w:rsidDel="00000000" w:rsidR="00000000" w:rsidRPr="00000000">
        <w:rPr>
          <w:rtl w:val="0"/>
        </w:rPr>
      </w:r>
    </w:p>
    <w:tbl>
      <w:tblPr>
        <w:tblStyle w:val="Table1"/>
        <w:tblW w:w="9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gridSpan w:val="3"/>
          </w:tcPr>
          <w:p w:rsidR="00000000" w:rsidDel="00000000" w:rsidP="00000000" w:rsidRDefault="00000000" w:rsidRPr="00000000" w14:paraId="0000000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PAPER INFORMATION</w:t>
            </w:r>
          </w:p>
        </w:tc>
      </w:tr>
      <w:tr>
        <w:trPr>
          <w:cantSplit w:val="0"/>
          <w:tblHeader w:val="0"/>
        </w:trPr>
        <w:tc>
          <w:tcPr>
            <w:vAlign w:val="center"/>
          </w:tcPr>
          <w:p w:rsidR="00000000" w:rsidDel="00000000" w:rsidP="00000000" w:rsidRDefault="00000000" w:rsidRPr="00000000" w14:paraId="0000001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Participation Type</w:t>
            </w:r>
          </w:p>
          <w:p w:rsidR="00000000" w:rsidDel="00000000" w:rsidP="00000000" w:rsidRDefault="00000000" w:rsidRPr="00000000" w14:paraId="0000001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 or In-person)</w:t>
            </w:r>
          </w:p>
        </w:tc>
        <w:tc>
          <w:tcPr>
            <w:vAlign w:val="center"/>
          </w:tcPr>
          <w:p w:rsidR="00000000" w:rsidDel="00000000" w:rsidP="00000000" w:rsidRDefault="00000000" w:rsidRPr="00000000" w14:paraId="0000001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Field of Study</w:t>
            </w:r>
          </w:p>
        </w:tc>
        <w:tc>
          <w:tcPr>
            <w:vAlign w:val="center"/>
          </w:tcPr>
          <w:p w:rsidR="00000000" w:rsidDel="00000000" w:rsidP="00000000" w:rsidRDefault="00000000" w:rsidRPr="00000000" w14:paraId="0000001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Presentation Language</w:t>
            </w:r>
          </w:p>
        </w:tc>
      </w:tr>
      <w:tr>
        <w:trPr>
          <w:cantSplit w:val="0"/>
          <w:tblHeader w:val="0"/>
        </w:trPr>
        <w:tc>
          <w:tcPr>
            <w:vAlign w:val="center"/>
          </w:tcPr>
          <w:p w:rsidR="00000000" w:rsidDel="00000000" w:rsidP="00000000" w:rsidRDefault="00000000" w:rsidRPr="00000000" w14:paraId="0000001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c>
          <w:tcPr/>
          <w:p w:rsidR="00000000" w:rsidDel="00000000" w:rsidP="00000000" w:rsidRDefault="00000000" w:rsidRPr="00000000" w14:paraId="0000001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Organização e Representação da Informação e do Conhecimento</w:t>
            </w:r>
          </w:p>
        </w:tc>
        <w:tc>
          <w:tcPr/>
          <w:p w:rsidR="00000000" w:rsidDel="00000000" w:rsidP="00000000" w:rsidRDefault="00000000" w:rsidRPr="00000000" w14:paraId="0000001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Portuguese or English</w:t>
            </w:r>
          </w:p>
        </w:tc>
      </w:tr>
    </w:tbl>
    <w:p w:rsidR="00000000" w:rsidDel="00000000" w:rsidP="00000000" w:rsidRDefault="00000000" w:rsidRPr="00000000" w14:paraId="00000017">
      <w:pPr>
        <w:rPr/>
      </w:pPr>
      <w:r w:rsidDel="00000000" w:rsidR="00000000" w:rsidRPr="00000000">
        <w:rPr>
          <w:rtl w:val="0"/>
        </w:rPr>
      </w:r>
    </w:p>
    <w:sectPr>
      <w:pgSz w:h="16838" w:w="11906" w:orient="portrait"/>
      <w:pgMar w:bottom="1417.3228346456694" w:top="1417.3228346456694" w:left="1417.3228346456694" w:right="1417.3228346456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semiHidden w:val="1"/>
    <w:unhideWhenUsed w:val="1"/>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32451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24514"/>
  </w:style>
  <w:style w:type="paragraph" w:styleId="Rodap">
    <w:name w:val="footer"/>
    <w:basedOn w:val="Normal"/>
    <w:link w:val="RodapChar"/>
    <w:uiPriority w:val="99"/>
    <w:unhideWhenUsed w:val="1"/>
    <w:rsid w:val="00324514"/>
    <w:pPr>
      <w:tabs>
        <w:tab w:val="center" w:pos="4252"/>
        <w:tab w:val="right" w:pos="8504"/>
      </w:tabs>
      <w:spacing w:after="0" w:line="240" w:lineRule="auto"/>
    </w:pPr>
  </w:style>
  <w:style w:type="character" w:styleId="RodapChar" w:customStyle="1">
    <w:name w:val="Rodapé Char"/>
    <w:basedOn w:val="Fontepargpadro"/>
    <w:link w:val="Rodap"/>
    <w:uiPriority w:val="99"/>
    <w:rsid w:val="0032451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rZfWaYYsOKpjaKqad7t520v4g==">CgMxLjA4AHIhMWd2MF9VRTBDdnUzcnppRTVaTjhPRTFrR2tCbGdIM3FZ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2025-06-22T13:10:00Z</dcterms:created>
  <dc:creator>TOI Organização</dc:creator>
</cp:coreProperties>
</file>