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eastAsia="Times New Roman"/>
          <w:b/>
          <w:bCs/>
          <w:sz w:val="24"/>
          <w:szCs w:val="24"/>
        </w:rPr>
      </w:pPr>
      <w:r>
        <w:rPr>
          <w:rFonts w:eastAsia="Times New Roman"/>
          <w:b/>
          <w:bCs/>
          <w:sz w:val="24"/>
          <w:szCs w:val="24"/>
        </w:rPr>
      </w:r>
    </w:p>
    <w:p>
      <w:pPr>
        <w:pStyle w:val="Normal"/>
        <w:spacing w:lineRule="auto" w:line="360"/>
        <w:jc w:val="center"/>
        <w:rPr>
          <w:rFonts w:eastAsia="Times New Roman"/>
          <w:b/>
          <w:bCs/>
          <w:sz w:val="24"/>
          <w:szCs w:val="24"/>
        </w:rPr>
      </w:pPr>
      <w:r>
        <w:rPr>
          <w:rFonts w:eastAsia="Times New Roman"/>
          <w:b/>
          <w:bCs/>
          <w:sz w:val="24"/>
          <w:szCs w:val="24"/>
        </w:rPr>
        <w:t>DIREITO DO CLIMA EXTREMO: OBRIGAÇÕES JURÍDICAS EM CENÁRIOS DE COLAPSO AMBIENTAL GLOBAL</w:t>
      </w:r>
    </w:p>
    <w:p>
      <w:pPr>
        <w:pStyle w:val="Normal"/>
        <w:tabs>
          <w:tab w:val="clear" w:pos="708"/>
          <w:tab w:val="left" w:pos="1540" w:leader="none"/>
        </w:tabs>
        <w:spacing w:lineRule="auto" w:line="360"/>
        <w:ind w:hanging="0" w:left="-360"/>
        <w:jc w:val="right"/>
        <w:rPr>
          <w:rFonts w:eastAsia="Times New Roman"/>
          <w:sz w:val="24"/>
          <w:szCs w:val="24"/>
        </w:rPr>
      </w:pPr>
      <w:r>
        <w:rPr>
          <w:rFonts w:eastAsia="Times New Roman"/>
          <w:sz w:val="24"/>
          <w:szCs w:val="24"/>
        </w:rPr>
      </w:r>
    </w:p>
    <w:p>
      <w:pPr>
        <w:pStyle w:val="Normal"/>
        <w:tabs>
          <w:tab w:val="clear" w:pos="708"/>
          <w:tab w:val="left" w:pos="1540" w:leader="none"/>
        </w:tabs>
        <w:spacing w:lineRule="auto" w:line="360"/>
        <w:ind w:hanging="0" w:left="-360"/>
        <w:jc w:val="right"/>
        <w:rPr/>
      </w:pPr>
      <w:r>
        <w:rPr>
          <w:rFonts w:eastAsia="Times New Roman"/>
          <w:sz w:val="24"/>
          <w:szCs w:val="24"/>
        </w:rPr>
        <w:t>Autor Principal:</w:t>
      </w:r>
      <w:r>
        <w:rPr>
          <w:rStyle w:val="FootnoteReference"/>
          <w:rFonts w:eastAsia="Times New Roman"/>
          <w:sz w:val="24"/>
          <w:szCs w:val="24"/>
        </w:rPr>
        <w:footnoteReference w:id="2"/>
      </w:r>
      <w:r>
        <w:rPr>
          <w:rFonts w:eastAsia="Times New Roman"/>
          <w:sz w:val="24"/>
          <w:szCs w:val="24"/>
        </w:rPr>
        <w:t>Gabriel Araújo Sampaio</w:t>
      </w:r>
    </w:p>
    <w:p>
      <w:pPr>
        <w:pStyle w:val="Normal"/>
        <w:tabs>
          <w:tab w:val="clear" w:pos="708"/>
          <w:tab w:val="left" w:pos="2060" w:leader="none"/>
        </w:tabs>
        <w:spacing w:lineRule="auto" w:line="360"/>
        <w:ind w:hanging="0" w:left="-360"/>
        <w:jc w:val="right"/>
        <w:rPr/>
      </w:pPr>
      <w:r>
        <w:rPr/>
        <w:t xml:space="preserve">Coautor </w:t>
      </w:r>
      <w:r>
        <w:rPr/>
        <w:t>1</w:t>
      </w:r>
      <w:r>
        <w:rPr/>
        <w:t>:</w:t>
      </w:r>
      <w:r>
        <w:rPr>
          <w:rStyle w:val="FootnoteReference"/>
        </w:rPr>
        <w:footnoteReference w:id="3"/>
      </w:r>
      <w:r>
        <w:rPr/>
        <w:t>Erick Israel Sousa da Silva</w:t>
      </w:r>
    </w:p>
    <w:p>
      <w:pPr>
        <w:pStyle w:val="Normal"/>
        <w:tabs>
          <w:tab w:val="clear" w:pos="708"/>
          <w:tab w:val="left" w:pos="2060" w:leader="none"/>
        </w:tabs>
        <w:spacing w:lineRule="auto" w:line="360"/>
        <w:ind w:hanging="0" w:left="-360"/>
        <w:jc w:val="right"/>
        <w:rPr/>
      </w:pPr>
      <w:r>
        <w:rPr/>
        <w:t>Coautor 2:</w:t>
      </w:r>
      <w:r>
        <w:rPr>
          <w:rStyle w:val="FootnoteReference"/>
        </w:rPr>
        <w:footnoteReference w:id="4"/>
      </w:r>
      <w:r>
        <w:rPr/>
        <w:t>Lucélia Keila Bitencourt Gomes</w:t>
      </w:r>
    </w:p>
    <w:p>
      <w:pPr>
        <w:pStyle w:val="Normal"/>
        <w:tabs>
          <w:tab w:val="clear" w:pos="708"/>
          <w:tab w:val="left" w:pos="2060" w:leader="none"/>
          <w:tab w:val="left" w:pos="7240" w:leader="none"/>
        </w:tabs>
        <w:spacing w:lineRule="auto" w:line="360"/>
        <w:ind w:hanging="0" w:left="-360"/>
        <w:jc w:val="right"/>
        <w:rPr>
          <w:sz w:val="24"/>
          <w:szCs w:val="24"/>
        </w:rPr>
      </w:pPr>
      <w:r>
        <w:rPr>
          <w:sz w:val="24"/>
          <w:szCs w:val="24"/>
        </w:rPr>
      </w:r>
    </w:p>
    <w:p>
      <w:pPr>
        <w:pStyle w:val="Normal"/>
        <w:spacing w:lineRule="auto" w:line="360"/>
        <w:jc w:val="center"/>
        <w:rPr/>
      </w:pPr>
      <w:r>
        <w:rPr>
          <w:rFonts w:eastAsia="Times New Roman"/>
          <w:b/>
          <w:bCs/>
          <w:sz w:val="24"/>
          <w:szCs w:val="24"/>
        </w:rPr>
        <w:t>RESUMO</w:t>
      </w:r>
    </w:p>
    <w:p>
      <w:pPr>
        <w:pStyle w:val="Normal"/>
        <w:spacing w:lineRule="auto" w:line="360"/>
        <w:jc w:val="center"/>
        <w:rPr>
          <w:rFonts w:eastAsia="Times New Roman"/>
          <w:i/>
          <w:i/>
          <w:iCs/>
          <w:sz w:val="24"/>
          <w:szCs w:val="24"/>
        </w:rPr>
      </w:pPr>
      <w:r>
        <w:rPr>
          <w:rFonts w:eastAsia="Times New Roman"/>
          <w:i/>
          <w:iCs/>
          <w:sz w:val="24"/>
          <w:szCs w:val="24"/>
        </w:rPr>
      </w:r>
    </w:p>
    <w:p>
      <w:pPr>
        <w:pStyle w:val="Normal"/>
        <w:spacing w:lineRule="auto" w:line="360"/>
        <w:jc w:val="both"/>
        <w:rPr>
          <w:rFonts w:eastAsia="Times New Roman"/>
          <w:i w:val="false"/>
          <w:i w:val="false"/>
          <w:iCs w:val="false"/>
          <w:sz w:val="24"/>
          <w:szCs w:val="24"/>
        </w:rPr>
      </w:pPr>
      <w:r>
        <w:rPr>
          <w:rFonts w:eastAsia="Times New Roman"/>
          <w:i w:val="false"/>
          <w:iCs w:val="false"/>
          <w:sz w:val="24"/>
          <w:szCs w:val="24"/>
        </w:rPr>
        <w:tab/>
        <w:t>Este artigo analisa a necessidade de um novo arcabouço jurídico-normativo, denominado "Direito do Clima Extremo", como resposta à inadequação do Direito contemporâneo frente ao colapso ambiental global. Partindo de um paralelo com a falência jurídica evidenciada por desastres como Chernobyl, a pesquisa demonstra a insuficiência dos mecanismos atuais, como a litigância climática e os mercados de carbono, este último frequentemente instrumentalizado como ferramenta de desinformação (</w:t>
      </w:r>
      <w:r>
        <w:rPr>
          <w:rFonts w:eastAsia="Times New Roman"/>
          <w:i/>
          <w:iCs/>
          <w:sz w:val="24"/>
          <w:szCs w:val="24"/>
        </w:rPr>
        <w:t>greenwashing</w:t>
      </w:r>
      <w:r>
        <w:rPr>
          <w:rFonts w:eastAsia="Times New Roman"/>
          <w:i w:val="false"/>
          <w:iCs w:val="false"/>
          <w:sz w:val="24"/>
          <w:szCs w:val="24"/>
        </w:rPr>
        <w:t>). Adicionalmente, investiga os novos riscos e os vácuos regulatórios associados a tecnologias de geoengenharia. Como conclusão, argumenta-se que a crise exige uma revolução paradigmática, propondo o reconhecimento da Natureza como sujeito de direito e a consequente criação de um Tribunal Internacional do Clima para julgar o crime de Ecocídio. A metodologia empregada consiste na revisão bibliográfica e na análise de estudos de caso documentais.</w:t>
      </w:r>
    </w:p>
    <w:p>
      <w:pPr>
        <w:pStyle w:val="Normal"/>
        <w:spacing w:lineRule="auto" w:line="360"/>
        <w:jc w:val="center"/>
        <w:rPr>
          <w:rFonts w:eastAsia="Times New Roman"/>
          <w:i/>
          <w:i/>
          <w:iCs/>
          <w:sz w:val="24"/>
          <w:szCs w:val="24"/>
        </w:rPr>
      </w:pPr>
      <w:r>
        <w:rPr>
          <w:rFonts w:eastAsia="Times New Roman"/>
          <w:i/>
          <w:iCs/>
          <w:sz w:val="24"/>
          <w:szCs w:val="24"/>
        </w:rPr>
      </w:r>
    </w:p>
    <w:p>
      <w:pPr>
        <w:pStyle w:val="Normal"/>
        <w:spacing w:lineRule="auto" w:line="360"/>
        <w:rPr/>
      </w:pPr>
      <w:r>
        <w:rPr>
          <w:rFonts w:eastAsia="Times New Roman"/>
          <w:b/>
          <w:bCs/>
          <w:sz w:val="24"/>
          <w:szCs w:val="24"/>
        </w:rPr>
        <w:t>Palavras-chave:</w:t>
      </w:r>
      <w:r>
        <w:rPr>
          <w:rStyle w:val="Strong"/>
          <w:rFonts w:eastAsia="Times New Roman"/>
          <w:b w:val="false"/>
          <w:bCs w:val="false"/>
          <w:sz w:val="24"/>
          <w:szCs w:val="24"/>
        </w:rPr>
        <w:t xml:space="preserve"> Clima; Ambiental; Natureza; Ecocídio; Geoengenharia.</w:t>
      </w:r>
    </w:p>
    <w:p>
      <w:pPr>
        <w:pStyle w:val="Normal"/>
        <w:spacing w:lineRule="auto" w:line="360"/>
        <w:rPr>
          <w:rStyle w:val="Strong"/>
          <w:rFonts w:eastAsia="Times New Roman"/>
          <w:b w:val="false"/>
          <w:bCs w:val="false"/>
          <w:sz w:val="24"/>
          <w:szCs w:val="24"/>
        </w:rPr>
      </w:pPr>
      <w:r>
        <w:rPr/>
      </w:r>
    </w:p>
    <w:p>
      <w:pPr>
        <w:pStyle w:val="Normal"/>
        <w:spacing w:lineRule="auto" w:line="360"/>
        <w:rPr>
          <w:rStyle w:val="Strong"/>
          <w:rFonts w:eastAsia="Times New Roman"/>
          <w:b w:val="false"/>
          <w:bCs w:val="false"/>
          <w:sz w:val="24"/>
          <w:szCs w:val="24"/>
        </w:rPr>
      </w:pPr>
      <w:r>
        <w:rPr/>
      </w:r>
    </w:p>
    <w:p>
      <w:pPr>
        <w:pStyle w:val="Normal"/>
        <w:spacing w:lineRule="auto" w:line="360"/>
        <w:rPr/>
      </w:pPr>
      <w:bookmarkStart w:id="0" w:name="page2"/>
      <w:bookmarkEnd w:id="0"/>
      <w:r>
        <w:rPr>
          <w:rFonts w:eastAsia="Times New Roman"/>
          <w:b/>
          <w:bCs/>
          <w:sz w:val="24"/>
          <w:szCs w:val="24"/>
        </w:rPr>
        <w:t>1 INTRODUÇÃO</w:t>
      </w:r>
    </w:p>
    <w:p>
      <w:pPr>
        <w:pStyle w:val="Normal"/>
        <w:spacing w:lineRule="auto" w:line="360"/>
        <w:jc w:val="both"/>
        <w:rPr>
          <w:rFonts w:eastAsia="Times New Roman"/>
          <w:i w:val="false"/>
          <w:i w:val="false"/>
          <w:iCs w:val="false"/>
          <w:sz w:val="24"/>
          <w:szCs w:val="24"/>
        </w:rPr>
      </w:pPr>
      <w:r>
        <w:rPr>
          <w:rFonts w:eastAsia="Times New Roman"/>
          <w:i w:val="false"/>
          <w:iCs w:val="false"/>
          <w:sz w:val="24"/>
          <w:szCs w:val="24"/>
        </w:rPr>
        <w:tab/>
        <w:t>O desastre nuclear de Chernobyl, em 1986, não foi apenas uma catástrofe tecnológica, mas também um marco da falência jurídica internacional. Ao lançar uma nuvem radioativa que ignorou fronteiras e soberanias, o evento expôs a total inadequação dos sistemas legais existentes para prevenir, responsabilizar e reparar danos ambientais de escala planetária. Quase quatro décadas depois, a humanidade enfrenta uma crise de magnitude ainda maior e de natureza crônica: o colapso ambiental global, impulsionado por eventos climáticos extremos cada vez mais frequentes e severos. Assim como no passado a lei se mostrou impotente diante da radiação invisível, hoje ela parece despreparada para lidar com as complexas cadeias de causalidade do aquecimento global. Este artigo parte da premissa de que o arcabouço jurídico tradicional é insuficiente para responder aos desafios do Antropoceno, tornando urgente a construção de um novo ramo do Direito — um "Direito do Clima Extremo" — capaz de estabelecer obrigações claras e responsabilizar Estados e corporações em um cenário de crise ecológica iminente.</w:t>
      </w:r>
    </w:p>
    <w:p>
      <w:pPr>
        <w:pStyle w:val="Normal"/>
        <w:spacing w:lineRule="auto" w:line="360"/>
        <w:jc w:val="both"/>
        <w:rPr>
          <w:rFonts w:eastAsia="Times New Roman"/>
          <w:i w:val="false"/>
          <w:i w:val="false"/>
          <w:iCs w:val="false"/>
          <w:sz w:val="24"/>
          <w:szCs w:val="24"/>
        </w:rPr>
      </w:pPr>
      <w:r>
        <w:rPr>
          <w:rFonts w:eastAsia="Times New Roman"/>
          <w:i w:val="false"/>
          <w:iCs w:val="false"/>
          <w:sz w:val="24"/>
          <w:szCs w:val="24"/>
        </w:rPr>
        <w:tab/>
        <w:t>Diferentemente da singularidade de um acidente nuclear, a crise climática contemporânea se manifesta como um processo de colapso sistêmico, atacando de forma implacável e simultânea as esferas essenciais à vida no planeta. Em terra, a fúria das águas redesenha mapas e destrói comunidades, como visto nas inundações sem precedentes que submergiram o estado do Rio Grande do Sul em 2024 e devastaram regiões da Alemanha e Bélgica em 2021, provando que nenhuma nação, desenvolvida ou em desenvolvimento, está imune. No ar, a atmosfera se converte em uma ameaça letal, com ondas de calor extremo que levaram a Índia a registrar recordes de temperatura em 2023, desencadeando severas crises hídricas e de saúde pública. E sob o mar, ocorre uma catástrofe silenciosa, mas igualmente alarmante: o branqueamento e a morte em massa dos recifes de coral, ecossistemas que funcionam como termômetros da saúde oceânica e cuja perda representa um ponto de inflexão crítico para a biodiversidade marinha. Essa tríade de desastres demonstra que o dano ambiental não é mais localizado ou pontual, mas sim difuso, contínuo e global, desafiando fundamentalmente a capacidade do Direito de compreendê-lo e de responder a ele.</w:t>
        <w:tab/>
        <w:tab/>
        <w:t>O desafio imposto por essa nova realidade transcende a capacidade de resposta dos Estados e adentra o cerne da própria dogmática jurídica. Institutos clássicos da responsabilidade civil, como o nexo de causalidade, tornam-se de difícil aplicação quando o dano é resultado de um acúmulo global de emissões ao longo de décadas, pulverizando a culpa entre incontáveis atores. Nesse vácuo de responsabilização, a inação política é frequentemente justificada, mas ela não ocorre de forma espontânea. Pelo contrário, é ativamente alimentada por uma sofisticada arquitetura de desinformação climática, que opera no coração da cultura digital. Financiada por setores com interesses na manutenção do status quo fóssil, essa estratégia utiliza as redes sociais e plataformas digitais para disseminar dúvidas sobre o consenso científico, minimizar a gravidade dos riscos e promover falsas soluções, paralisando a formação de uma vontade social e política robusta. O Direito, ao falhar em regular tanto as emissões quanto o ecossistema de desinformação que as protege, torna-se, ainda que por omissão, um facilitador da crise, tornando imperativa uma análise que conecte a degradação ambiental à degradação do debate público.</w:t>
      </w:r>
    </w:p>
    <w:p>
      <w:pPr>
        <w:pStyle w:val="Normal"/>
        <w:spacing w:lineRule="auto" w:line="360"/>
        <w:rPr>
          <w:rFonts w:eastAsia="Times New Roman"/>
          <w:b/>
          <w:bCs/>
          <w:i w:val="false"/>
          <w:i w:val="false"/>
          <w:iCs w:val="false"/>
          <w:sz w:val="24"/>
          <w:szCs w:val="24"/>
        </w:rPr>
      </w:pPr>
      <w:r>
        <w:rPr>
          <w:rFonts w:eastAsia="Times New Roman"/>
          <w:b/>
          <w:bCs/>
          <w:i w:val="false"/>
          <w:iCs w:val="false"/>
          <w:sz w:val="24"/>
          <w:szCs w:val="24"/>
        </w:rPr>
      </w:r>
    </w:p>
    <w:p>
      <w:pPr>
        <w:pStyle w:val="Normal"/>
        <w:spacing w:lineRule="auto" w:line="360"/>
        <w:rPr/>
      </w:pPr>
      <w:r>
        <w:rPr>
          <w:rFonts w:eastAsia="Times New Roman"/>
          <w:b/>
          <w:bCs/>
          <w:sz w:val="24"/>
          <w:szCs w:val="24"/>
        </w:rPr>
        <w:t>2 OBJETIVO</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 xml:space="preserve">Diante do exposto, o presente artigo tem como </w:t>
      </w:r>
      <w:r>
        <w:rPr>
          <w:rFonts w:eastAsia="Times New Roman"/>
          <w:b/>
          <w:bCs/>
          <w:sz w:val="24"/>
          <w:szCs w:val="24"/>
        </w:rPr>
        <w:t>objetivo geral</w:t>
      </w:r>
      <w:r>
        <w:rPr>
          <w:rFonts w:eastAsia="Times New Roman"/>
          <w:b w:val="false"/>
          <w:bCs w:val="false"/>
          <w:sz w:val="24"/>
          <w:szCs w:val="24"/>
        </w:rPr>
        <w:t xml:space="preserve"> analisar a necessidade e os fundamentos para a construção de um "Direito do Clima Extremo", um novo arcabouço jurídico-normativo capaz de responder às demandas do Antropoceno. </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 xml:space="preserve">Para alcançar tal propósito, foram traçados os seguintes </w:t>
      </w:r>
      <w:r>
        <w:rPr>
          <w:rFonts w:eastAsia="Times New Roman"/>
          <w:b/>
          <w:bCs/>
          <w:sz w:val="24"/>
          <w:szCs w:val="24"/>
        </w:rPr>
        <w:t>objetivos específicos</w:t>
      </w:r>
      <w:r>
        <w:rPr>
          <w:rFonts w:eastAsia="Times New Roman"/>
          <w:b w:val="false"/>
          <w:bCs w:val="false"/>
          <w:sz w:val="24"/>
          <w:szCs w:val="24"/>
        </w:rPr>
        <w:t>: (a) realizar uma análise crítica da eficácia dos mecanismos legais e de mercados vigentes, com foco na litigância climática e nos créditos de carbono, para demonstrar sua insuficiência; (b) investigar os novos desafios impostos por tecnologias de geoengenharia, expondo o vácuo regulatório e os riscos associados; e (c) debater a viabilidade e os fundamentos para a criação de uma estrutura de responsabilização global, notadamente um Tribunal Internacional do Clima, como resposta à natureza transfronteiriça da crise ecológica.</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r>
    </w:p>
    <w:p>
      <w:pPr>
        <w:pStyle w:val="Normal"/>
        <w:spacing w:lineRule="auto" w:line="360"/>
        <w:rPr>
          <w:rFonts w:eastAsia="Times New Roman"/>
          <w:b/>
          <w:bCs/>
          <w:sz w:val="24"/>
          <w:szCs w:val="24"/>
        </w:rPr>
      </w:pPr>
      <w:r>
        <w:rPr>
          <w:rFonts w:eastAsia="Times New Roman"/>
          <w:b/>
          <w:bCs/>
          <w:sz w:val="24"/>
          <w:szCs w:val="24"/>
        </w:rPr>
        <w:t>3 MÉTODO</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 xml:space="preserve">A pesquisa adota abordagem qualitativa e analítica crítica, fundamentada em revisão bibliográfica e análise documental, contemplando obras de referência em direito ambiental, sociologia e filosofia, como "Sociedade de Risco" de Ulrich Beck e "Ideias para Adiar o Fim do Mundo" de Ailton Krenak. Foram analisadas legislações nacionais e internacionais e decisões judiciais paradigmáticas, como o caso Urgenda vs. Estado dos Países Baixos. A análise se estendeu a relatórios de organismos multilaterais, como o IPCC, e documentos técnicos de organizações como a </w:t>
      </w:r>
      <w:r>
        <w:rPr>
          <w:rFonts w:eastAsia="Times New Roman"/>
          <w:b w:val="false"/>
          <w:bCs w:val="false"/>
          <w:i/>
          <w:iCs/>
          <w:sz w:val="24"/>
          <w:szCs w:val="24"/>
        </w:rPr>
        <w:t>Stop Ecocide International</w:t>
      </w:r>
      <w:r>
        <w:rPr>
          <w:rFonts w:eastAsia="Times New Roman"/>
          <w:b w:val="false"/>
          <w:bCs w:val="false"/>
          <w:sz w:val="24"/>
          <w:szCs w:val="24"/>
        </w:rPr>
        <w:t>. Foram examinados casos reais, como o desastre de Chernobyl e as enchentes no Rio Grande do Sul (2024), bem como foi desenvolvido um estudo hipotético sobre geoengenharia, a fim de evidenciar lacunas normativas e riscos emergentes. Esse delineamento metodológico permite uma leitura crítica e interdisciplinar do tema, destacando a insuficiência do arcabouço jurídico vigente e a necessidade de um novo paradigma, o “Direito do Clima Extremo”, capaz de enfrentar os desafios do Antropoceno.</w:t>
      </w:r>
    </w:p>
    <w:p>
      <w:pPr>
        <w:pStyle w:val="Normal"/>
        <w:spacing w:lineRule="auto" w:line="360"/>
        <w:rPr>
          <w:rFonts w:eastAsia="Times New Roman"/>
          <w:b/>
          <w:bCs/>
          <w:sz w:val="24"/>
          <w:szCs w:val="24"/>
        </w:rPr>
      </w:pPr>
      <w:r>
        <w:rPr>
          <w:rFonts w:eastAsia="Times New Roman"/>
          <w:b/>
          <w:bCs/>
          <w:sz w:val="24"/>
          <w:szCs w:val="24"/>
        </w:rPr>
      </w:r>
    </w:p>
    <w:p>
      <w:pPr>
        <w:pStyle w:val="Normal"/>
        <w:spacing w:lineRule="auto" w:line="360"/>
        <w:rPr>
          <w:rFonts w:eastAsia="Times New Roman"/>
          <w:b/>
          <w:bCs/>
          <w:sz w:val="24"/>
          <w:szCs w:val="24"/>
        </w:rPr>
      </w:pPr>
      <w:r>
        <w:rPr>
          <w:rFonts w:eastAsia="Times New Roman"/>
          <w:b/>
          <w:bCs/>
          <w:sz w:val="24"/>
          <w:szCs w:val="24"/>
        </w:rPr>
        <w:t>4. RESULTADO E DISCUSSÕES</w:t>
      </w:r>
    </w:p>
    <w:p>
      <w:pPr>
        <w:pStyle w:val="Normal"/>
        <w:spacing w:lineRule="auto" w:line="360"/>
        <w:rPr>
          <w:rFonts w:eastAsia="Times New Roman"/>
          <w:b/>
          <w:bCs/>
          <w:sz w:val="24"/>
          <w:szCs w:val="24"/>
        </w:rPr>
      </w:pPr>
      <w:r>
        <w:rPr>
          <w:rFonts w:eastAsia="Times New Roman"/>
          <w:b/>
          <w:bCs/>
          <w:sz w:val="24"/>
          <w:szCs w:val="24"/>
        </w:rPr>
        <w:t>4.1. A INSUFICIÊNCIA DOS MECANISMOS ATUAIS: ENTRE A OMISSÃO E O MERCADO</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A arquitetura do direito internacional e constitucional contemporâneo impõe aos Estados um dever fundamental de proteger os direitos humanos de seus cidadãos. Essa obrigação, invocada em contextos de segurança pública ou direitos sociais, vem sendo progressivamente estendida para abarcar a proteção contra os danos ambientais. A lógica é clara: não há direito à vida, à saúde ou à propriedade em um ambiente colapsado. Contudo, esse dever em ações climáticas concretas e mensuráveis tem sido marcada pela omissão governamental, levando a sociedade civil a buscar uma nova arena de confronto: os tribunais.</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r>
    </w:p>
    <w:p>
      <w:pPr>
        <w:pStyle w:val="Normal"/>
        <w:spacing w:lineRule="auto" w:line="360"/>
        <w:jc w:val="both"/>
        <w:rPr>
          <w:rFonts w:eastAsia="Times New Roman"/>
          <w:b w:val="false"/>
          <w:bCs w:val="false"/>
          <w:sz w:val="24"/>
          <w:szCs w:val="24"/>
        </w:rPr>
      </w:pPr>
      <w:r>
        <w:rPr>
          <w:rFonts w:eastAsia="Times New Roman"/>
          <w:b/>
          <w:bCs/>
          <w:sz w:val="24"/>
          <w:szCs w:val="24"/>
        </w:rPr>
        <w:t>4.2. A RESPONSABILIDADE DO ESTADO E A EMERGÊNCIA DA LITIGÂNCIA CLIMÁTICA</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A litigância climática emergiu como uma das ferramentas mais disruptivas para confrontar a inação estatal. Trata-se de uma estratégia global onde cidadãos, organizações não governamentais e até jovens ativistas acionam judicialmente seus próprios governos, exigindo que as políticas públicas se alinhem com as metas científicas para a redução de emissões. O argumento central dessas ações é que a falha em agir de forma ambiciosa constitui uma violação direta dos direitos humanos fundamentais. Um caso paradigmático que redefiniu as fronteiras dessa área foi o Caso Urgenda vs. Estado dos Países Baixos. Em uma decisão histórica de 2019, a Suprema Corte holandesa determinou que o governo tinha a obrigação legal, baseada tanto no direito nacional quanto em convenções europeias de direitos humanos, de reduzir as emissões de gases de efeito estufa em pelo menos 25% até 2020, em comparação com os níveis de 1990. A Corte não apenas reconheceu a gravidade da ciência climática, mas a transformou em um dever jurídico vinculante, estabelecendo um precedente monumental. O caso Urgenda provou que a política climática não é mais uma questão de mera discricionariedade política, mas sim uma obrigação legal passível de controle judicial. Apesar de seu impacto retumbante, a litigância climática ainda enfrenta desafios, como a lentidão dos processos e a resistência dos governos em cumprir as decisões, evidenciando que, mesmo quando o Direito avança, sua efetividade ainda é um campo em disputa.</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r>
    </w:p>
    <w:p>
      <w:pPr>
        <w:pStyle w:val="Normal"/>
        <w:spacing w:lineRule="auto" w:line="360"/>
        <w:jc w:val="both"/>
        <w:rPr>
          <w:b/>
          <w:bCs/>
        </w:rPr>
      </w:pPr>
      <w:r>
        <w:rPr>
          <w:rFonts w:eastAsia="Times New Roman"/>
          <w:b/>
          <w:bCs/>
          <w:sz w:val="24"/>
          <w:szCs w:val="24"/>
        </w:rPr>
        <w:t>4.3. O MERCADO DE CARBONO: SOLUÇÃO OU DILUIÇÃO DAS OBRIGAÇÕES?</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 xml:space="preserve">Em paralelo às pressões judiciais, floresceu uma abordagem que prometia alinhar os interesses do capital aos do clima: o mercado de carbono. A lógica deste mecanismo consiste em precificar a poluição, permitindo que empresas compensem suas emissões adquirindo "créditos" gerados por projetos que, teoricamente, removem ou evitam a emissão de gases de efeito estufa. No entanto, em vez de criar uma obrigação jurídica clara e intransigente de descarbonização, essa abordagem de mercado frequentemente resulta em uma perigosa diluição da responsabilidade. A promessa de "neutralizar" emissões no papel desvia o foco da obrigação primária e mais urgente: a de transformar radicalmente os processos produtivos na própria fonte. A insuficiência desse modelo se torna evidente em sua aplicação prática, marcada por controvérsias e falta de rigor. Investigações têm demonstrado que uma parcela significativa dos créditos de carbono disponíveis no mercado voluntário não representa reduções de emissões reais ou "adicionais". Este cenário cria uma brecha para o </w:t>
      </w:r>
      <w:r>
        <w:rPr>
          <w:rFonts w:eastAsia="Times New Roman"/>
          <w:b w:val="false"/>
          <w:bCs w:val="false"/>
          <w:i/>
          <w:iCs/>
          <w:sz w:val="24"/>
          <w:szCs w:val="24"/>
        </w:rPr>
        <w:t>greenwashing</w:t>
      </w:r>
      <w:r>
        <w:rPr>
          <w:rFonts w:eastAsia="Times New Roman"/>
          <w:b w:val="false"/>
          <w:bCs w:val="false"/>
          <w:sz w:val="24"/>
          <w:szCs w:val="24"/>
        </w:rPr>
        <w:t>, onde corporações utilizam a aquisição de créditos baratos para construir uma imagem pública de sustentabilidade, gerando ativamente desinformação. Essa abordagem reflete o que sociólogos ambientais criticam como "fetichismo do carbono": uma obsessão em quantificar e comercializar o carbono, que acaba por fetichizar a molécula e obscurecer as relações de poder que são a verdadeira causa das emissões. Clamando, assim, por um Direito do Clima que seja mandatório, fiscalizável e imune a artifícios contábeis.</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r>
    </w:p>
    <w:p>
      <w:pPr>
        <w:pStyle w:val="Normal"/>
        <w:spacing w:lineRule="auto" w:line="360"/>
        <w:jc w:val="both"/>
        <w:rPr>
          <w:b/>
          <w:bCs/>
        </w:rPr>
      </w:pPr>
      <w:r>
        <w:rPr>
          <w:rFonts w:eastAsia="Times New Roman"/>
          <w:b/>
          <w:bCs/>
          <w:sz w:val="24"/>
          <w:szCs w:val="24"/>
        </w:rPr>
        <w:t>4.4. GEOENGENHARIA: A PROMESSA PERIGOSA E O VÁCUO REGULATÓRIO</w:t>
      </w:r>
    </w:p>
    <w:p>
      <w:pPr>
        <w:pStyle w:val="Normal"/>
        <w:spacing w:lineRule="auto" w:line="360"/>
        <w:jc w:val="both"/>
        <w:rPr>
          <w:b/>
          <w:bCs/>
        </w:rPr>
      </w:pPr>
      <w:r>
        <w:rPr>
          <w:rFonts w:eastAsia="Times New Roman"/>
          <w:b/>
          <w:bCs/>
          <w:sz w:val="24"/>
          <w:szCs w:val="24"/>
        </w:rPr>
        <w:tab/>
      </w:r>
      <w:r>
        <w:rPr>
          <w:rFonts w:eastAsia="Times New Roman"/>
          <w:b w:val="false"/>
          <w:bCs w:val="false"/>
          <w:sz w:val="24"/>
          <w:szCs w:val="24"/>
        </w:rPr>
        <w:t>A crescente percepção de que a mitigação pode ser insuficiente deu origem a um campo de pesquisa tão promissor quanto perigoso: a geoengenharia, que abrange intervenções tecnológicas em larga escala para manipular deliberadamente os sistemas planetários.</w:t>
      </w:r>
    </w:p>
    <w:p>
      <w:pPr>
        <w:pStyle w:val="Normal"/>
        <w:spacing w:lineRule="auto" w:line="360"/>
        <w:jc w:val="both"/>
        <w:rPr>
          <w:b/>
          <w:bCs/>
        </w:rPr>
      </w:pPr>
      <w:r>
        <w:rPr>
          <w:rFonts w:eastAsia="Times New Roman"/>
          <w:b w:val="false"/>
          <w:bCs w:val="false"/>
          <w:sz w:val="24"/>
          <w:szCs w:val="24"/>
        </w:rPr>
        <w:tab/>
        <w:t xml:space="preserve">Contudo, a tentativa de "consertar" o clima com a mesma mentalidade tecnológica que o adoeceu representa uma aposta de altíssimo risco. Técnicas como a fertilização oceânica, que propõe semear os oceanos com nutrientes para estimular o crescimento de fitoplâncton que absorveria CO₂ — levantam sérias preocupações sobre a desestabilização de ecossistemas marinhos e a criação de vastas "zonas mortas" anóxicas. Da mesma forma, a semeadura de nuvens, como a praticada em Dubai, ilustra de forma dramática o potencial para resultados catastróficos. A tentativa de induzir chuva para combater a aridez resultou em inundações históricas, expondo a tênue linha entre uma solução climática e a criação de um novo desastre. Esses exemplos revelam um profundo vácuo legal. </w:t>
      </w:r>
    </w:p>
    <w:p>
      <w:pPr>
        <w:pStyle w:val="Normal"/>
        <w:spacing w:lineRule="auto" w:line="360"/>
        <w:jc w:val="both"/>
        <w:rPr>
          <w:b/>
          <w:bCs/>
        </w:rPr>
      </w:pPr>
      <w:r>
        <w:rPr>
          <w:rFonts w:eastAsia="Times New Roman"/>
          <w:b w:val="false"/>
          <w:bCs w:val="false"/>
          <w:sz w:val="24"/>
          <w:szCs w:val="24"/>
        </w:rPr>
        <w:tab/>
        <w:t>O Princípio da Precaução, pilar do Direito Ambiental, deveria proibir atividades com potencial de dano grave, mas sua aplicação à geoengenharia é incerta. A ausência de um tratado global que regule explicitamente essas tecnologias deixa a porta aberta para que nações ajam unilateralmente, criando um cenário de risco moral (</w:t>
      </w:r>
      <w:r>
        <w:rPr>
          <w:rFonts w:eastAsia="Times New Roman"/>
          <w:b w:val="false"/>
          <w:bCs w:val="false"/>
          <w:i/>
          <w:iCs/>
          <w:sz w:val="24"/>
          <w:szCs w:val="24"/>
        </w:rPr>
        <w:t>moral hazard</w:t>
      </w:r>
      <w:r>
        <w:rPr>
          <w:rFonts w:eastAsia="Times New Roman"/>
          <w:b w:val="false"/>
          <w:bCs w:val="false"/>
          <w:sz w:val="24"/>
          <w:szCs w:val="24"/>
        </w:rPr>
        <w:t>): a mera possibilidade de uma "solução" tecnológica pode desincentivar a obrigação fundamental de reduzir as emissões na fonte.</w:t>
      </w:r>
    </w:p>
    <w:p>
      <w:pPr>
        <w:pStyle w:val="Normal"/>
        <w:spacing w:lineRule="auto" w:line="360"/>
        <w:jc w:val="both"/>
        <w:rPr>
          <w:b/>
          <w:bCs/>
        </w:rPr>
      </w:pPr>
      <w:r>
        <w:rPr>
          <w:b/>
          <w:bCs/>
        </w:rPr>
      </w:r>
    </w:p>
    <w:p>
      <w:pPr>
        <w:pStyle w:val="Normal"/>
        <w:spacing w:lineRule="auto" w:line="360"/>
        <w:jc w:val="both"/>
        <w:rPr>
          <w:b/>
          <w:bCs/>
        </w:rPr>
      </w:pPr>
      <w:r>
        <w:rPr>
          <w:rFonts w:eastAsia="Times New Roman"/>
          <w:b/>
          <w:bCs/>
          <w:sz w:val="24"/>
          <w:szCs w:val="24"/>
        </w:rPr>
        <w:t>4.5. O DESAFIO DA RESPONSABILIZAÇÃO POR DANOS TECNOLÓGICOS</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Este vácuo regulatório nos confronta com um abismo de irresponsabilidade jurídica. Se a semeadura de nuvens por um país causa inundações em uma nação vizinha, a quem cabe a reparação? Trata-se de um ato ilícito internacional ou de uma versão tecnológica de um "ato de Deus"? Autores como Ulrich Beck, em sua obra "Sociedade de Risco", já alertavam que a modernidade produziria riscos de uma magnitude tal que os sistemas jurídicos clássicos, baseados na culpa e na causalidade individual, se tornariam obsoletos. A geoengenharia é a materialização máxima dessa profecia. A incapacidade do Direito atual de oferecer respostas claras a essas perguntas não é uma mera lacuna técnica; é uma falha estrutural que evidencia a necessidade urgente de um Direito do Clima Extremo, pensado não para remediar danos passados, mas para governar riscos futuros em uma escala planetária.</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r>
    </w:p>
    <w:p>
      <w:pPr>
        <w:pStyle w:val="Normal"/>
        <w:spacing w:lineRule="auto" w:line="360"/>
        <w:jc w:val="both"/>
        <w:rPr>
          <w:rFonts w:eastAsia="Times New Roman"/>
          <w:b/>
          <w:bCs/>
          <w:sz w:val="24"/>
          <w:szCs w:val="24"/>
        </w:rPr>
      </w:pPr>
      <w:r>
        <w:rPr>
          <w:rFonts w:eastAsia="Times New Roman"/>
          <w:b/>
          <w:bCs/>
          <w:sz w:val="24"/>
          <w:szCs w:val="24"/>
        </w:rPr>
        <w:t>4.6. O PONTO DE RUPTURA: DO CASO HIPOTÉTICO À NECESSIDADE DE UMA REVOLUÇÃO JURÍDICA</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Para materializar a dimensão desse vácuo jurídico, imagine-se um cenário: uma nação do Sudeste Asiático, sofrendo com secas prolongadas, implementa um ambicioso projeto de geoengenharia, injetando aerossóis na estratosfera para resfriar a temperatura regional. Contudo, a intervenção, baseada em modelos incompletos, produz um resultado catastrófico: altera drasticamente os padrões das monções, causando inundações sem precedentes na costa leste da África e no subcontinente indiano. O resultado são milhares de mortes, o colapso da agricultura e o deslocamento de milhões de "refugiados climáticos tecnológicos". Como o ordenamento jurídico atual se comportaria? As nações afetadas poderiam acionar a Corte Internacional de Justiça, mas enfrentariam um obstáculo quase intransponível para provar o nexo causal e a intenção de causar dano, uma vez que o país agiu para combater uma crise, não para criar outra. A defesa se basearia na tese de que foi um ato imprudente, talvez negligente, mas não um ato de agressão, e que as consequências foram imprevisíveis. Não há um tratado global que proíba tal ato, nem uma corte com jurisdição clara para julgar um "desastre tecnológico transfronteiriço". O resultado mais provável seria um impasse jurídico que se arrastaria por décadas, sem reparação efetiva para as vítimas. Este exercício mental não é ficção científica; é a demonstração contundente da paralisia do Direito atual e o argumento final para a necessidade de uma revolução jurídica.</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tab/>
        <w:t>As falhas sistêmicas aqui demonstradas apontam para uma conclusão inevitável: ajustes incrementais não são mais suficientes. A resposta ao colapso ambiental exige uma revolução na própria doutrina jurídica, um deslocamento de seu centro gravitacional. A crise não demanda apenas novas leis, mas uma forma inteiramente nova de pensar o Direito.</w:t>
      </w:r>
    </w:p>
    <w:p>
      <w:pPr>
        <w:pStyle w:val="Normal"/>
        <w:spacing w:lineRule="auto" w:line="360"/>
        <w:jc w:val="both"/>
        <w:rPr>
          <w:rFonts w:eastAsia="Times New Roman"/>
          <w:b/>
          <w:bCs/>
          <w:sz w:val="24"/>
          <w:szCs w:val="24"/>
        </w:rPr>
      </w:pPr>
      <w:r>
        <w:rPr>
          <w:rFonts w:eastAsia="Times New Roman"/>
          <w:b/>
          <w:bCs/>
          <w:sz w:val="24"/>
          <w:szCs w:val="24"/>
        </w:rPr>
      </w:r>
    </w:p>
    <w:p>
      <w:pPr>
        <w:pStyle w:val="Normal"/>
        <w:spacing w:lineRule="auto" w:line="360"/>
        <w:jc w:val="both"/>
        <w:rPr>
          <w:rFonts w:eastAsia="Times New Roman"/>
          <w:b/>
          <w:bCs/>
          <w:sz w:val="24"/>
          <w:szCs w:val="24"/>
        </w:rPr>
      </w:pPr>
      <w:r>
        <w:rPr>
          <w:rFonts w:eastAsia="Times New Roman"/>
          <w:b/>
          <w:bCs/>
          <w:sz w:val="24"/>
          <w:szCs w:val="24"/>
        </w:rPr>
        <w:t>4.7. O PASSO REVOLUCIONÁRIO: A NATUREZA COMO SUJEITO DE DIREITO</w:t>
      </w:r>
    </w:p>
    <w:p>
      <w:pPr>
        <w:pStyle w:val="Normal"/>
        <w:spacing w:lineRule="auto" w:line="360"/>
        <w:jc w:val="both"/>
        <w:rPr>
          <w:rFonts w:eastAsia="Times New Roman"/>
          <w:b/>
          <w:bCs/>
          <w:sz w:val="24"/>
          <w:szCs w:val="24"/>
        </w:rPr>
      </w:pPr>
      <w:r>
        <w:rPr>
          <w:rFonts w:eastAsia="Times New Roman"/>
          <w:b/>
          <w:bCs/>
          <w:sz w:val="24"/>
          <w:szCs w:val="24"/>
        </w:rPr>
        <w:tab/>
      </w:r>
      <w:r>
        <w:rPr>
          <w:rFonts w:eastAsia="Times New Roman"/>
          <w:b w:val="false"/>
          <w:bCs w:val="false"/>
          <w:sz w:val="24"/>
          <w:szCs w:val="24"/>
        </w:rPr>
        <w:t xml:space="preserve">A raiz da impotência jurídica atual reside em uma premissa profundamente arraigada no pensamento ocidental e herdada do Direito Romano: a de que a Natureza é </w:t>
      </w:r>
      <w:r>
        <w:rPr>
          <w:rFonts w:eastAsia="Times New Roman"/>
          <w:b w:val="false"/>
          <w:bCs w:val="false"/>
          <w:i/>
          <w:iCs/>
          <w:sz w:val="24"/>
          <w:szCs w:val="24"/>
        </w:rPr>
        <w:t>res</w:t>
      </w:r>
      <w:r>
        <w:rPr>
          <w:rFonts w:eastAsia="Times New Roman"/>
          <w:b w:val="false"/>
          <w:bCs w:val="false"/>
          <w:sz w:val="24"/>
          <w:szCs w:val="24"/>
        </w:rPr>
        <w:t xml:space="preserve">, uma "coisa". A proposta mais incisiva e verdadeiramente transformadora para um Direito do Clima Extremo é a demolição desse paradigma antropocêntrico através do reconhecimento da Natureza como sujeito de direito. Esta não é uma ideia abstrata, mas um movimento crescente. Inspirados pela cosmovisão de povos originários, como expressa pelo líder indígena Ailton Krenak, e materializada em avanços constitucionais pioneiros no Sul Global, como nas Constituições do Equador (2008) e da Bolívia (2009), o conceito de </w:t>
      </w:r>
      <w:r>
        <w:rPr>
          <w:rFonts w:eastAsia="Times New Roman"/>
          <w:b w:val="false"/>
          <w:bCs w:val="false"/>
          <w:i/>
          <w:iCs/>
          <w:sz w:val="24"/>
          <w:szCs w:val="24"/>
        </w:rPr>
        <w:t>Pachamama</w:t>
      </w:r>
      <w:r>
        <w:rPr>
          <w:rFonts w:eastAsia="Times New Roman"/>
          <w:b w:val="false"/>
          <w:bCs w:val="false"/>
          <w:sz w:val="24"/>
          <w:szCs w:val="24"/>
        </w:rPr>
        <w:t xml:space="preserve"> (Mãe Terra) adquire status legal. Sob esta nova ótica, rios, florestas e ecossistemas passam a ser titulares de direitos intrínsecos: o direito de existir, de manter seus ciclos vitais e de florescer. A consequência prática é monumental. O dano ambiental deixa de ser apenas uma infração contra interesses humanos e se torna uma violação direta contra a própria vítima não-humana. Ao fazer isso, o Direito começa a construir as bases para uma verdadeira "Justiça Interespécies", um paradigma onde os interesses de ecossistemas são considerados juridicamente relevantes e dignos de proteção por si mesmos.</w:t>
      </w:r>
    </w:p>
    <w:p>
      <w:pPr>
        <w:pStyle w:val="Normal"/>
        <w:spacing w:lineRule="auto" w:line="360"/>
        <w:jc w:val="both"/>
        <w:rPr>
          <w:rFonts w:eastAsia="Times New Roman"/>
          <w:b w:val="false"/>
          <w:bCs w:val="false"/>
          <w:sz w:val="24"/>
          <w:szCs w:val="24"/>
        </w:rPr>
      </w:pPr>
      <w:r>
        <w:rPr>
          <w:rFonts w:eastAsia="Times New Roman"/>
          <w:b w:val="false"/>
          <w:bCs w:val="false"/>
          <w:sz w:val="24"/>
          <w:szCs w:val="24"/>
        </w:rPr>
      </w:r>
    </w:p>
    <w:p>
      <w:pPr>
        <w:pStyle w:val="Normal"/>
        <w:spacing w:lineRule="auto" w:line="360"/>
        <w:jc w:val="both"/>
        <w:rPr>
          <w:rFonts w:eastAsia="Times New Roman"/>
          <w:b/>
          <w:bCs/>
          <w:sz w:val="24"/>
          <w:szCs w:val="24"/>
        </w:rPr>
      </w:pPr>
      <w:r>
        <w:rPr>
          <w:rFonts w:eastAsia="Times New Roman"/>
          <w:b/>
          <w:bCs/>
          <w:sz w:val="24"/>
          <w:szCs w:val="24"/>
        </w:rPr>
        <w:t>4.8. A CONSEQUÊNCIA INSTITUCIONAL: O TRIBUNAL INTERNACIONAL DO CLIMA E O CRIME DE ECOCÍDIO</w:t>
      </w:r>
    </w:p>
    <w:p>
      <w:pPr>
        <w:pStyle w:val="Normal"/>
        <w:spacing w:lineRule="auto" w:line="360"/>
        <w:jc w:val="both"/>
        <w:rPr>
          <w:rFonts w:eastAsia="Times New Roman"/>
          <w:b/>
          <w:bCs/>
          <w:sz w:val="24"/>
          <w:szCs w:val="24"/>
        </w:rPr>
      </w:pPr>
      <w:r>
        <w:rPr>
          <w:rFonts w:eastAsia="Times New Roman"/>
          <w:b/>
          <w:bCs/>
          <w:sz w:val="24"/>
          <w:szCs w:val="24"/>
        </w:rPr>
        <w:tab/>
      </w:r>
      <w:r>
        <w:rPr>
          <w:rFonts w:eastAsia="Times New Roman"/>
          <w:b w:val="false"/>
          <w:bCs w:val="false"/>
          <w:sz w:val="24"/>
          <w:szCs w:val="24"/>
        </w:rPr>
        <w:t>O reconhecimento da Natureza como sujeito de direito seria uma declaração vazia se não fosse acompanhado de mecanismos para sua efetiva proteção. Se ecossistemas possuem direitos, a violação massiva desses direitos deve ser considerada um crime internacional. É neste ponto que a proposta de um Tribunal Internacional do Clima se converte na consequência institucional lógica da revolução jurídica proposta. Inspirando-se na arquitetura do Tribunal Penal Internacional (TPI), este novo tribunal teria como seu mandato central o julgamento do crime de "Ecocídio", definido como "atos ilegais ou arbitrários cometidos com o conhecimento de que há uma probabilidade substancial de danos severos e generalizados ou de longo prazo ao meio ambiente". Sob essa tipificação, a destruição deliberada da Amazônia ou as decisões corporativas que levem ao derretimento de calotas polares deixariam de ser meras externalidades econômicas. Seriam crimes internacionais, e seus perpetradores — chefes de Estado ou diretores executivos — poderiam ser pessoalmente responsabilizados. A criação de tal jurisdição representa a ferramenta de dissuasão mais poderosa imaginável, estabelecendo a obrigação jurídica final: a da responsabilidade penal individual.</w:t>
      </w:r>
    </w:p>
    <w:p>
      <w:pPr>
        <w:pStyle w:val="Normal"/>
        <w:spacing w:lineRule="auto" w:line="360"/>
        <w:rPr>
          <w:rFonts w:eastAsia="Times New Roman"/>
          <w:b/>
          <w:bCs/>
          <w:sz w:val="24"/>
          <w:szCs w:val="24"/>
        </w:rPr>
      </w:pPr>
      <w:r>
        <w:rPr>
          <w:rFonts w:eastAsia="Times New Roman"/>
          <w:b/>
          <w:bCs/>
          <w:sz w:val="24"/>
          <w:szCs w:val="24"/>
        </w:rPr>
      </w:r>
    </w:p>
    <w:p>
      <w:pPr>
        <w:pStyle w:val="Normal"/>
        <w:spacing w:lineRule="auto" w:line="360"/>
        <w:rPr/>
      </w:pPr>
      <w:r>
        <w:rPr>
          <w:rFonts w:eastAsia="Times New Roman"/>
          <w:b/>
          <w:bCs/>
          <w:sz w:val="24"/>
          <w:szCs w:val="24"/>
        </w:rPr>
        <w:t>5 CONSIDERAÇÕES FINAIS</w:t>
      </w:r>
    </w:p>
    <w:p>
      <w:pPr>
        <w:pStyle w:val="Normal"/>
        <w:spacing w:lineRule="auto" w:line="360"/>
        <w:jc w:val="both"/>
        <w:rPr>
          <w:b w:val="false"/>
          <w:bCs w:val="false"/>
        </w:rPr>
      </w:pPr>
      <w:r>
        <w:rPr>
          <w:rFonts w:eastAsia="Times New Roman"/>
          <w:b w:val="false"/>
          <w:bCs w:val="false"/>
          <w:sz w:val="24"/>
          <w:szCs w:val="24"/>
        </w:rPr>
        <w:tab/>
        <w:t xml:space="preserve">Este artigo partiu da constatação de que o Direito, na forma atual, observa o avanço do colapso ambiental global com um arsenal normativo obsoleto. A jornada argumentativa aqui traçada demonstrou que as respostas atuais são perigosamente insuficientes. Vimos que a litigância climática, embora heroica, avança a passos lentos, enquanto os mecanismos de mercado são frequentemente cooptados pela lógica do </w:t>
      </w:r>
      <w:r>
        <w:rPr>
          <w:rFonts w:eastAsia="Times New Roman"/>
          <w:b w:val="false"/>
          <w:bCs w:val="false"/>
          <w:i/>
          <w:iCs/>
          <w:sz w:val="24"/>
          <w:szCs w:val="24"/>
        </w:rPr>
        <w:t>greenwashing</w:t>
      </w:r>
      <w:r>
        <w:rPr>
          <w:rFonts w:eastAsia="Times New Roman"/>
          <w:b w:val="false"/>
          <w:bCs w:val="false"/>
          <w:sz w:val="24"/>
          <w:szCs w:val="24"/>
        </w:rPr>
        <w:t xml:space="preserve"> e da desinformação. Demonstramos, ainda, que o horizonte se mostra mais desafiador com o advento de tecnologias de geoengenharia, que operam em um alarmante vácuo legal.</w:t>
      </w:r>
    </w:p>
    <w:p>
      <w:pPr>
        <w:pStyle w:val="Normal"/>
        <w:spacing w:lineRule="auto" w:line="360"/>
        <w:jc w:val="both"/>
        <w:rPr>
          <w:b w:val="false"/>
          <w:bCs w:val="false"/>
        </w:rPr>
      </w:pPr>
      <w:r>
        <w:rPr>
          <w:rFonts w:eastAsia="Times New Roman"/>
          <w:b w:val="false"/>
          <w:bCs w:val="false"/>
          <w:sz w:val="24"/>
          <w:szCs w:val="24"/>
        </w:rPr>
        <w:tab/>
        <w:t>Diante desse cenário, a conclusão que se impõe é a de que a crise climática exige uma refundação paradigmática do pensamento jurídico. A proposta defendida neste trabalho articulou uma revolução em duas frentes: o reconhecimento da Natureza como sujeito de direito e a consequente criminalização do Ecocídio em uma jurisdição internacional. Ao dar direitos à própria Terra e ao responsabilizar pessoalmente aqueles que promovem sua destruição, o Direito finalmente transcenderia sua função reativa e assumiria seu potencial como força proativa e transformadora.</w:t>
      </w:r>
    </w:p>
    <w:p>
      <w:pPr>
        <w:pStyle w:val="Normal"/>
        <w:spacing w:lineRule="auto" w:line="360"/>
        <w:jc w:val="both"/>
        <w:rPr>
          <w:b w:val="false"/>
          <w:bCs w:val="false"/>
        </w:rPr>
      </w:pPr>
      <w:r>
        <w:rPr>
          <w:rFonts w:eastAsia="Times New Roman"/>
          <w:b w:val="false"/>
          <w:bCs w:val="false"/>
          <w:sz w:val="24"/>
          <w:szCs w:val="24"/>
        </w:rPr>
        <w:tab/>
        <w:t>A construção de um Direito do Clima Extremo não é uma utopia acadêmica, mas uma necessidade existencial. É o reconhecimento de que as leis devem servir para proteger a vida em sua totalidade, e não apenas para gerenciar os conflitos de uma única espécie. Em um mundo onde as consequências da inação são medidas em vidas perdidas, ecossistemas extintos e um futuro inviabilizado, a verdadeira utopia é acreditar que podemos sobreviver sem alinhar o poder da lei à escala da nossa responsabilidade planetária.</w:t>
      </w:r>
    </w:p>
    <w:p>
      <w:pPr>
        <w:pStyle w:val="Normal"/>
        <w:spacing w:lineRule="auto" w:line="360"/>
        <w:rPr>
          <w:rFonts w:eastAsia="Times New Roman"/>
          <w:b/>
          <w:bCs/>
          <w:sz w:val="24"/>
          <w:szCs w:val="24"/>
        </w:rPr>
      </w:pPr>
      <w:r>
        <w:rPr>
          <w:rFonts w:eastAsia="Times New Roman"/>
          <w:b/>
          <w:bCs/>
          <w:sz w:val="24"/>
          <w:szCs w:val="24"/>
        </w:rPr>
      </w:r>
    </w:p>
    <w:p>
      <w:pPr>
        <w:pStyle w:val="Normal"/>
        <w:spacing w:lineRule="auto" w:line="360"/>
        <w:jc w:val="center"/>
        <w:rPr>
          <w:rFonts w:eastAsia="Times New Roman"/>
          <w:b/>
          <w:bCs/>
          <w:sz w:val="24"/>
          <w:szCs w:val="24"/>
        </w:rPr>
      </w:pPr>
      <w:r>
        <w:rPr>
          <w:rFonts w:eastAsia="Times New Roman"/>
          <w:b/>
          <w:bCs/>
          <w:sz w:val="24"/>
          <w:szCs w:val="24"/>
        </w:rPr>
        <w:t>REFERÊNCIAS</w:t>
      </w:r>
    </w:p>
    <w:p>
      <w:pPr>
        <w:pStyle w:val="Normal"/>
        <w:widowControl/>
        <w:suppressAutoHyphens w:val="true"/>
        <w:bidi w:val="0"/>
        <w:spacing w:lineRule="auto" w:line="240" w:before="0" w:after="0"/>
        <w:ind w:hanging="0" w:left="0" w:right="0"/>
        <w:jc w:val="left"/>
        <w:rPr>
          <w:sz w:val="24"/>
          <w:szCs w:val="24"/>
        </w:rPr>
      </w:pPr>
      <w:r>
        <w:rPr>
          <w:sz w:val="24"/>
          <w:szCs w:val="24"/>
        </w:rPr>
        <w:t>BECK, Ulrich.</w:t>
      </w:r>
      <w:r>
        <w:rPr>
          <w:b/>
          <w:bCs/>
          <w:sz w:val="24"/>
          <w:szCs w:val="24"/>
        </w:rPr>
        <w:t xml:space="preserve"> Risk society: towards a new modernity.</w:t>
      </w:r>
      <w:r>
        <w:rPr>
          <w:sz w:val="24"/>
          <w:szCs w:val="24"/>
        </w:rPr>
        <w:t xml:space="preserve"> Tradução de Mark Ritter. Londres: Sage Publications, 1992.</w:t>
        <w:br/>
        <w:br/>
        <w:t>BOLÍVIA.</w:t>
      </w:r>
      <w:r>
        <w:rPr>
          <w:b/>
          <w:bCs/>
          <w:sz w:val="24"/>
          <w:szCs w:val="24"/>
        </w:rPr>
        <w:t xml:space="preserve"> Constitución Política del Estado</w:t>
      </w:r>
      <w:r>
        <w:rPr>
          <w:sz w:val="24"/>
          <w:szCs w:val="24"/>
        </w:rPr>
        <w:t>. La Paz: Gaceta Oficial de Bolivia, 2009.</w:t>
        <w:br/>
        <w:br/>
        <w:t xml:space="preserve">EQUADOR. </w:t>
      </w:r>
      <w:r>
        <w:rPr>
          <w:b/>
          <w:bCs/>
          <w:sz w:val="24"/>
          <w:szCs w:val="24"/>
        </w:rPr>
        <w:t>Constitución de la República del Ecuador.</w:t>
      </w:r>
      <w:r>
        <w:rPr>
          <w:sz w:val="24"/>
          <w:szCs w:val="24"/>
        </w:rPr>
        <w:t xml:space="preserve"> Quito: Registro Oficial, 2008.</w:t>
        <w:br/>
        <w:br/>
        <w:t xml:space="preserve">IAEA (International Atomic Energy Agency). </w:t>
      </w:r>
      <w:r>
        <w:rPr>
          <w:b/>
          <w:bCs/>
          <w:sz w:val="24"/>
          <w:szCs w:val="24"/>
        </w:rPr>
        <w:t>Chernobyl: A Decade</w:t>
      </w:r>
      <w:r>
        <w:rPr>
          <w:sz w:val="24"/>
          <w:szCs w:val="24"/>
        </w:rPr>
        <w:t>. Viena, 1996.</w:t>
        <w:br/>
        <w:br/>
        <w:t xml:space="preserve">IPCC (Intergovernmental Panel on Climate Change). </w:t>
      </w:r>
      <w:r>
        <w:rPr>
          <w:b/>
          <w:bCs/>
          <w:sz w:val="24"/>
          <w:szCs w:val="24"/>
        </w:rPr>
        <w:t>Climate Change 2023: Synthesis Report</w:t>
      </w:r>
      <w:r>
        <w:rPr>
          <w:sz w:val="24"/>
          <w:szCs w:val="24"/>
        </w:rPr>
        <w:t>. Contribuição dos Grupos de Trabalho I, II e III para o Sexto Relatório de Avaliação do Painel Intergovernamental sobre Mudanças Climáticas. Genebra: IPCC, 2023.</w:t>
        <w:br/>
        <w:br/>
        <w:t xml:space="preserve">KRENAK, Ailton. </w:t>
      </w:r>
      <w:r>
        <w:rPr>
          <w:b/>
          <w:bCs/>
          <w:sz w:val="24"/>
          <w:szCs w:val="24"/>
        </w:rPr>
        <w:t>Ideias para adiar o fim do mundo</w:t>
      </w:r>
      <w:r>
        <w:rPr>
          <w:sz w:val="24"/>
          <w:szCs w:val="24"/>
        </w:rPr>
        <w:t>. São Paulo: Companhia das Letras, 2019.</w:t>
      </w:r>
    </w:p>
    <w:p>
      <w:pPr>
        <w:pStyle w:val="Normal"/>
        <w:widowControl/>
        <w:suppressAutoHyphens w:val="true"/>
        <w:bidi w:val="0"/>
        <w:spacing w:lineRule="auto" w:line="240" w:before="0" w:after="0"/>
        <w:ind w:hanging="0" w:left="0" w:right="0"/>
        <w:jc w:val="left"/>
        <w:rPr>
          <w:sz w:val="24"/>
          <w:szCs w:val="24"/>
        </w:rPr>
      </w:pPr>
      <w:r>
        <w:rPr>
          <w:sz w:val="24"/>
          <w:szCs w:val="24"/>
        </w:rPr>
      </w:r>
    </w:p>
    <w:p>
      <w:pPr>
        <w:pStyle w:val="Normal"/>
        <w:widowControl/>
        <w:suppressAutoHyphens w:val="true"/>
        <w:bidi w:val="0"/>
        <w:spacing w:lineRule="auto" w:line="240" w:before="0" w:after="0"/>
        <w:ind w:hanging="0" w:left="0" w:right="0"/>
        <w:jc w:val="left"/>
        <w:rPr>
          <w:sz w:val="24"/>
          <w:szCs w:val="24"/>
        </w:rPr>
      </w:pPr>
      <w:r>
        <w:rPr>
          <w:sz w:val="24"/>
          <w:szCs w:val="24"/>
        </w:rPr>
        <w:t xml:space="preserve">LOHMANN, Larry. Carbon trading, climate justice and the production of ignorance: ten examples. </w:t>
      </w:r>
      <w:r>
        <w:rPr>
          <w:b/>
          <w:bCs/>
          <w:sz w:val="24"/>
          <w:szCs w:val="24"/>
        </w:rPr>
        <w:t>Development</w:t>
      </w:r>
      <w:r>
        <w:rPr>
          <w:sz w:val="24"/>
          <w:szCs w:val="24"/>
        </w:rPr>
        <w:t>, v. 51, n. 3, p. 359-365, 2008.</w:t>
        <w:br/>
        <w:br/>
        <w:t>RIO GRANDE DO SUL. Governo do Estado.</w:t>
      </w:r>
      <w:r>
        <w:rPr>
          <w:b/>
          <w:bCs/>
          <w:sz w:val="24"/>
          <w:szCs w:val="24"/>
        </w:rPr>
        <w:t xml:space="preserve"> Decreto Nº 57.600, de 4 de maio de 2024.</w:t>
      </w:r>
      <w:r>
        <w:rPr>
          <w:sz w:val="24"/>
          <w:szCs w:val="24"/>
        </w:rPr>
        <w:t xml:space="preserve"> Reitera o estado de calamidade pública no território do Estado do Rio Grande do Sul. Porto Alegre: Diário Oficial do Estado, 2024.</w:t>
        <w:br/>
        <w:br/>
        <w:t xml:space="preserve">STOP ECOCIDE INTERNATIONAL. </w:t>
      </w:r>
      <w:r>
        <w:rPr>
          <w:b/>
          <w:bCs/>
          <w:sz w:val="24"/>
          <w:szCs w:val="24"/>
        </w:rPr>
        <w:t>Painel de Peritos Independentes para a Definição Jurídica de Ecocídio</w:t>
      </w:r>
      <w:r>
        <w:rPr>
          <w:sz w:val="24"/>
          <w:szCs w:val="24"/>
        </w:rPr>
        <w:t>. Junho de 2021. Disponível em: https://stopecocide.pt/definicao-juridica. Acesso em: 02 set. 2025.</w:t>
        <w:br/>
        <w:br/>
        <w:t>THE GUARDIAN.</w:t>
      </w:r>
      <w:r>
        <w:rPr>
          <w:b/>
          <w:bCs/>
          <w:sz w:val="24"/>
          <w:szCs w:val="24"/>
        </w:rPr>
        <w:t xml:space="preserve"> Revealed: more than 90% of rainforest carbon offsets by biggest certifier are worthless</w:t>
      </w:r>
      <w:r>
        <w:rPr>
          <w:sz w:val="24"/>
          <w:szCs w:val="24"/>
        </w:rPr>
        <w:t>. 18 jan. 2023. Disponível em: https://www.theguardian.com/environment/2023/jan/18/revealed-forest-carbon-offsets-biggest-certifier-verra-worthless. Acesso em: 02 set. 2025.</w:t>
        <w:br/>
        <w:br/>
        <w:t xml:space="preserve">URGENDA FOUNDATION. </w:t>
      </w:r>
      <w:r>
        <w:rPr>
          <w:b/>
          <w:bCs/>
          <w:sz w:val="24"/>
          <w:szCs w:val="24"/>
        </w:rPr>
        <w:t>The Urgenda climate case against the Dutch government.</w:t>
      </w:r>
      <w:r>
        <w:rPr>
          <w:sz w:val="24"/>
          <w:szCs w:val="24"/>
        </w:rPr>
        <w:t xml:space="preserve"> Disponível em: https://www.urgenda.nl/en/themas/climate-case/. Acesso em: 02 set. 2025.</w:t>
        <w:br/>
        <w:br/>
        <w:t xml:space="preserve">WORLD WEATHER ATTRIBUTION. </w:t>
      </w:r>
      <w:r>
        <w:rPr>
          <w:b/>
          <w:bCs/>
          <w:sz w:val="24"/>
          <w:szCs w:val="24"/>
        </w:rPr>
        <w:t>Heavy rainfall which led to severe flooding in Western Europe made more likely by climate change</w:t>
      </w:r>
      <w:r>
        <w:rPr>
          <w:sz w:val="24"/>
          <w:szCs w:val="24"/>
        </w:rPr>
        <w:t>. 23 ago. 2021. Disponível em: https://www.worldweatherattribution.org/heavy-rainfall-which-led-to-severe-flooding-in-western-europe-made-more-likely-by-climate-change/. Acesso em: 02 set. 2025.</w:t>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701" w:right="1134" w:gutter="0" w:header="1701" w:top="2694" w:footer="1134"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1418"/>
      <w:rPr/>
    </w:pPr>
    <w:r>
      <w:rPr/>
    </w:r>
  </w:p>
  <w:p>
    <w:pPr>
      <w:pStyle w:val="Footer"/>
      <w:ind w:hanging="1418"/>
      <w:rPr/>
    </w:pPr>
    <w:r>
      <w:rPr/>
      <w:drawing>
        <wp:anchor behindDoc="1" distT="0" distB="0" distL="0" distR="0" simplePos="0" locked="0" layoutInCell="0" allowOverlap="1" relativeHeight="21">
          <wp:simplePos x="0" y="0"/>
          <wp:positionH relativeFrom="page">
            <wp:align>center</wp:align>
          </wp:positionH>
          <wp:positionV relativeFrom="paragraph">
            <wp:posOffset>-168910</wp:posOffset>
          </wp:positionV>
          <wp:extent cx="5643245" cy="1037590"/>
          <wp:effectExtent l="0" t="0" r="0" b="0"/>
          <wp:wrapNone/>
          <wp:docPr id="3" name="Imagem 20974367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097436799" descr=""/>
                  <pic:cNvPicPr>
                    <a:picLocks noChangeAspect="1" noChangeArrowheads="1"/>
                  </pic:cNvPicPr>
                </pic:nvPicPr>
                <pic:blipFill>
                  <a:blip r:embed="rId1"/>
                  <a:stretch>
                    <a:fillRect/>
                  </a:stretch>
                </pic:blipFill>
                <pic:spPr bwMode="auto">
                  <a:xfrm>
                    <a:off x="0" y="0"/>
                    <a:ext cx="5643245" cy="1037590"/>
                  </a:xfrm>
                  <a:prstGeom prst="rect">
                    <a:avLst/>
                  </a:prstGeom>
                  <a:noFill/>
                </pic:spPr>
              </pic:pic>
            </a:graphicData>
          </a:graphic>
        </wp:anchor>
      </w:drawing>
    </w:r>
  </w:p>
  <w:p>
    <w:pPr>
      <w:pStyle w:val="Footer"/>
      <w:ind w:hanging="14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1418"/>
      <w:rPr/>
    </w:pPr>
    <w:r>
      <w:rPr/>
    </w:r>
  </w:p>
  <w:p>
    <w:pPr>
      <w:pStyle w:val="Footer"/>
      <w:ind w:hanging="1418"/>
      <w:rPr/>
    </w:pPr>
    <w:r>
      <w:rPr/>
      <w:drawing>
        <wp:anchor behindDoc="1" distT="0" distB="0" distL="0" distR="0" simplePos="0" locked="0" layoutInCell="0" allowOverlap="1" relativeHeight="21">
          <wp:simplePos x="0" y="0"/>
          <wp:positionH relativeFrom="page">
            <wp:align>center</wp:align>
          </wp:positionH>
          <wp:positionV relativeFrom="paragraph">
            <wp:posOffset>-168910</wp:posOffset>
          </wp:positionV>
          <wp:extent cx="5643245" cy="1037590"/>
          <wp:effectExtent l="0" t="0" r="0" b="0"/>
          <wp:wrapNone/>
          <wp:docPr id="4" name="Imagem 20974367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097436799" descr=""/>
                  <pic:cNvPicPr>
                    <a:picLocks noChangeAspect="1" noChangeArrowheads="1"/>
                  </pic:cNvPicPr>
                </pic:nvPicPr>
                <pic:blipFill>
                  <a:blip r:embed="rId1"/>
                  <a:stretch>
                    <a:fillRect/>
                  </a:stretch>
                </pic:blipFill>
                <pic:spPr bwMode="auto">
                  <a:xfrm>
                    <a:off x="0" y="0"/>
                    <a:ext cx="5643245" cy="1037590"/>
                  </a:xfrm>
                  <a:prstGeom prst="rect">
                    <a:avLst/>
                  </a:prstGeom>
                  <a:noFill/>
                </pic:spPr>
              </pic:pic>
            </a:graphicData>
          </a:graphic>
        </wp:anchor>
      </w:drawing>
    </w:r>
  </w:p>
  <w:p>
    <w:pPr>
      <w:pStyle w:val="Footer"/>
      <w:ind w:hanging="141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22"/>
          <w:szCs w:val="22"/>
        </w:rPr>
      </w:pPr>
      <w:r>
        <w:rPr>
          <w:rStyle w:val="Caracteresdenotaderodap"/>
        </w:rPr>
        <w:footnoteRef/>
      </w:r>
      <w:r>
        <w:rPr>
          <w:sz w:val="22"/>
          <w:szCs w:val="22"/>
        </w:rPr>
        <w:t xml:space="preserve"> </w:t>
      </w:r>
      <w:r>
        <w:rPr>
          <w:sz w:val="22"/>
          <w:szCs w:val="22"/>
        </w:rPr>
        <w:t>Graduando em Direito – Christus Faculdade do Piauí.</w:t>
      </w:r>
    </w:p>
  </w:footnote>
  <w:footnote w:id="3">
    <w:p>
      <w:pPr>
        <w:pStyle w:val="FootnoteText"/>
        <w:rPr>
          <w:sz w:val="22"/>
          <w:szCs w:val="22"/>
        </w:rPr>
      </w:pPr>
      <w:r>
        <w:rPr>
          <w:rStyle w:val="Caracteresdenotaderodap"/>
        </w:rPr>
        <w:footnoteRef/>
      </w:r>
      <w:r>
        <w:rPr>
          <w:sz w:val="22"/>
          <w:szCs w:val="22"/>
        </w:rPr>
        <w:t xml:space="preserve"> </w:t>
      </w:r>
      <w:r>
        <w:rPr>
          <w:sz w:val="22"/>
          <w:szCs w:val="22"/>
        </w:rPr>
        <w:t>Graduando em Direito – Christus Faculdade do Piauí.</w:t>
      </w:r>
    </w:p>
  </w:footnote>
  <w:footnote w:id="4">
    <w:p>
      <w:pPr>
        <w:pStyle w:val="FootnoteText"/>
        <w:rPr>
          <w:sz w:val="22"/>
          <w:szCs w:val="22"/>
        </w:rPr>
      </w:pPr>
      <w:r>
        <w:rPr>
          <w:rStyle w:val="Caracteresdenotaderodap"/>
        </w:rPr>
        <w:footnoteRef/>
      </w:r>
      <w:r>
        <w:rPr>
          <w:sz w:val="22"/>
          <w:szCs w:val="22"/>
        </w:rPr>
        <w:t xml:space="preserve"> </w:t>
      </w:r>
      <w:r>
        <w:rPr>
          <w:sz w:val="22"/>
          <w:szCs w:val="22"/>
        </w:rPr>
        <w:t>Professora Mestra do Curso de Bacharelado em Direito – Christus Faculdade do Piauí.</w:t>
      </w:r>
    </w:p>
    <w:p>
      <w:pPr>
        <w:pStyle w:val="FootnoteText"/>
        <w:rPr>
          <w:sz w:val="22"/>
          <w:szCs w:val="22"/>
        </w:rPr>
      </w:pPr>
      <w:r>
        <w:rPr>
          <w:sz w:val="22"/>
          <w:szCs w:val="22"/>
        </w:rPr>
      </w:r>
    </w:p>
    <w:p>
      <w:pPr>
        <w:pStyle w:val="FootnoteText"/>
        <w:rPr>
          <w:sz w:val="22"/>
          <w:szCs w:val="22"/>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left" w:pos="2595" w:leader="none"/>
        <w:tab w:val="left" w:pos="7670" w:leader="none"/>
      </w:tabs>
      <w:rPr/>
    </w:pPr>
    <w:r>
      <w:drawing>
        <wp:anchor behindDoc="1" distT="0" distB="0" distL="0" distR="0" simplePos="0" locked="0" layoutInCell="1" allowOverlap="1" relativeHeight="11">
          <wp:simplePos x="0" y="0"/>
          <wp:positionH relativeFrom="column">
            <wp:posOffset>-1080135</wp:posOffset>
          </wp:positionH>
          <wp:positionV relativeFrom="paragraph">
            <wp:posOffset>-1080135</wp:posOffset>
          </wp:positionV>
          <wp:extent cx="7560310" cy="1578610"/>
          <wp:effectExtent l="0" t="0" r="0" b="0"/>
          <wp:wrapNone/>
          <wp:docPr id="1"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
                  <pic:cNvPicPr>
                    <a:picLocks noChangeAspect="1" noChangeArrowheads="1"/>
                  </pic:cNvPicPr>
                </pic:nvPicPr>
                <pic:blipFill>
                  <a:blip r:embed="rId1"/>
                  <a:stretch>
                    <a:fillRect/>
                  </a:stretch>
                </pic:blipFill>
                <pic:spPr bwMode="auto">
                  <a:xfrm>
                    <a:off x="0" y="0"/>
                    <a:ext cx="7560310" cy="1578610"/>
                  </a:xfrm>
                  <a:prstGeom prst="rect">
                    <a:avLst/>
                  </a:prstGeom>
                  <a:noFill/>
                </pic:spPr>
              </pic:pic>
            </a:graphicData>
          </a:graphic>
        </wp:anchor>
      </w:drawing>
    </w: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left" w:pos="2595" w:leader="none"/>
        <w:tab w:val="left" w:pos="7670" w:leader="none"/>
      </w:tabs>
      <w:rPr/>
    </w:pPr>
    <w:r>
      <w:drawing>
        <wp:anchor behindDoc="1" distT="0" distB="0" distL="0" distR="0" simplePos="0" locked="0" layoutInCell="1" allowOverlap="1" relativeHeight="11">
          <wp:simplePos x="0" y="0"/>
          <wp:positionH relativeFrom="column">
            <wp:posOffset>-1080135</wp:posOffset>
          </wp:positionH>
          <wp:positionV relativeFrom="paragraph">
            <wp:posOffset>-1080135</wp:posOffset>
          </wp:positionV>
          <wp:extent cx="7560310" cy="1578610"/>
          <wp:effectExtent l="0" t="0" r="0" b="0"/>
          <wp:wrapNone/>
          <wp:docPr id="2"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descr=""/>
                  <pic:cNvPicPr>
                    <a:picLocks noChangeAspect="1" noChangeArrowheads="1"/>
                  </pic:cNvPicPr>
                </pic:nvPicPr>
                <pic:blipFill>
                  <a:blip r:embed="rId1"/>
                  <a:stretch>
                    <a:fillRect/>
                  </a:stretch>
                </pic:blipFill>
                <pic:spPr bwMode="auto">
                  <a:xfrm>
                    <a:off x="0" y="0"/>
                    <a:ext cx="7560310" cy="1578610"/>
                  </a:xfrm>
                  <a:prstGeom prst="rect">
                    <a:avLst/>
                  </a:prstGeom>
                  <a:noFill/>
                </pic:spPr>
              </pic:pic>
            </a:graphicData>
          </a:graphic>
        </wp:anchor>
      </w:drawing>
    </w:r>
    <w:r>
      <w:rPr/>
      <w:tab/>
      <w:tab/>
    </w:r>
  </w:p>
</w:hdr>
</file>

<file path=word/settings.xml><?xml version="1.0" encoding="utf-8"?>
<w:settings xmlns:w="http://schemas.openxmlformats.org/wordprocessingml/2006/main">
  <w:zoom w:percent="140"/>
  <w:defaultTabStop w:val="708"/>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71dd"/>
    <w:pPr>
      <w:widowControl/>
      <w:suppressAutoHyphens w:val="true"/>
      <w:bidi w:val="0"/>
      <w:spacing w:lineRule="auto" w:line="240" w:before="0" w:after="0"/>
      <w:jc w:val="left"/>
    </w:pPr>
    <w:rPr>
      <w:rFonts w:ascii="Times New Roman" w:hAnsi="Times New Roman" w:eastAsia="" w:cs="Times New Roman" w:eastAsiaTheme="minorEastAsia"/>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4071dd"/>
    <w:rPr>
      <w:rFonts w:ascii="Times New Roman" w:hAnsi="Times New Roman" w:eastAsia="" w:cs="Times New Roman" w:eastAsiaTheme="minorEastAsia"/>
    </w:rPr>
  </w:style>
  <w:style w:type="character" w:styleId="RodapChar" w:customStyle="1">
    <w:name w:val="Rodapé Char"/>
    <w:basedOn w:val="DefaultParagraphFont"/>
    <w:uiPriority w:val="99"/>
    <w:qFormat/>
    <w:rsid w:val="004071dd"/>
    <w:rPr>
      <w:rFonts w:ascii="Times New Roman" w:hAnsi="Times New Roman" w:eastAsia="" w:cs="Times New Roman" w:eastAsiaTheme="minorEastAsia"/>
    </w:rPr>
  </w:style>
  <w:style w:type="character" w:styleId="TextodenotaderodapChar" w:customStyle="1">
    <w:name w:val="Texto de nota de rodapé Char"/>
    <w:basedOn w:val="DefaultParagraphFont"/>
    <w:uiPriority w:val="99"/>
    <w:semiHidden/>
    <w:qFormat/>
    <w:rsid w:val="00f33874"/>
    <w:rPr>
      <w:rFonts w:ascii="Times New Roman" w:hAnsi="Times New Roman" w:eastAsia="" w:cs="Times New Roman" w:eastAsiaTheme="minorEastAsia"/>
      <w:sz w:val="20"/>
      <w:szCs w:val="20"/>
    </w:rPr>
  </w:style>
  <w:style w:type="character" w:styleId="Caracteresdenotaderodap">
    <w:name w:val="Caracteres de nota de rodapé"/>
    <w:uiPriority w:val="99"/>
    <w:semiHidden/>
    <w:unhideWhenUsed/>
    <w:qFormat/>
    <w:rsid w:val="00f33874"/>
    <w:rPr>
      <w:vertAlign w:val="superscript"/>
    </w:rPr>
  </w:style>
  <w:style w:type="character" w:styleId="Caracteresdenotaderodapuser">
    <w:name w:val="Caracteres de nota de rodapé (user)"/>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Strong">
    <w:name w:val="Strong"/>
    <w:qFormat/>
    <w:rPr>
      <w:b/>
      <w:bCs/>
    </w:rPr>
  </w:style>
  <w:style w:type="character" w:styleId="Hyperlink">
    <w:name w:val="Hyperlink"/>
    <w:qFormat/>
    <w:rPr>
      <w:color w:val="000080"/>
      <w:u w:val="single"/>
    </w:rPr>
  </w:style>
  <w:style w:type="character" w:styleId="Caracteresdenotadefimuser">
    <w:name w:val="Caracteres de nota de fim (user)"/>
    <w:qForma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istParagraph">
    <w:name w:val="List Paragraph"/>
    <w:basedOn w:val="Normal"/>
    <w:uiPriority w:val="34"/>
    <w:qFormat/>
    <w:rsid w:val="004071dd"/>
    <w:pPr>
      <w:spacing w:before="0" w:after="0"/>
      <w:ind w:hanging="0" w:left="720"/>
      <w:contextualSpacing/>
    </w:pPr>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11">
    <w:name w:val="Cabeçalho e rodapé11"/>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4071dd"/>
    <w:pPr>
      <w:tabs>
        <w:tab w:val="clear" w:pos="708"/>
        <w:tab w:val="center" w:pos="4252" w:leader="none"/>
        <w:tab w:val="right" w:pos="8504" w:leader="none"/>
      </w:tabs>
    </w:pPr>
    <w:rPr/>
  </w:style>
  <w:style w:type="paragraph" w:styleId="Footer">
    <w:name w:val="footer"/>
    <w:basedOn w:val="Normal"/>
    <w:link w:val="RodapChar"/>
    <w:uiPriority w:val="99"/>
    <w:unhideWhenUsed/>
    <w:rsid w:val="004071dd"/>
    <w:pPr>
      <w:tabs>
        <w:tab w:val="clear" w:pos="708"/>
        <w:tab w:val="center" w:pos="4252" w:leader="none"/>
        <w:tab w:val="right" w:pos="8504" w:leader="none"/>
      </w:tabs>
    </w:pPr>
    <w:rPr/>
  </w:style>
  <w:style w:type="paragraph" w:styleId="FootnoteText">
    <w:name w:val="footnote text"/>
    <w:basedOn w:val="Normal"/>
    <w:link w:val="TextodenotaderodapChar"/>
    <w:uiPriority w:val="99"/>
    <w:semiHidden/>
    <w:unhideWhenUsed/>
    <w:rsid w:val="00f33874"/>
    <w:pPr/>
    <w:rPr>
      <w:sz w:val="20"/>
      <w:szCs w:val="20"/>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Application>LibreOffice/25.2.5.2$Windows_X86_64 LibreOffice_project/03d19516eb2e1dd5d4ccd751a0d6f35f35e08022</Application>
  <AppVersion>15.0000</AppVersion>
  <Pages>10</Pages>
  <Words>3161</Words>
  <Characters>18418</Characters>
  <CharactersWithSpaces>21581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2025-08-20T11:18:00Z</dcterms:created>
  <dc:creator>Ágatha Aila</dc:creator>
  <dc:description/>
  <dc:language>pt-BR</dc:language>
  <cp:lastModifiedBy/>
  <cp:lastPrinted>2025-09-04T20:05:27Z</cp:lastPrinted>
  <dcterms:modified xsi:type="dcterms:W3CDTF">2025-09-08T15:26:40Z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