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1B7B1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 xml:space="preserve">IDADE DA PRIMEIRA COBERTURA EM MARRÃS </w:t>
      </w:r>
      <w:r w:rsidRPr="001B7B1C">
        <w:rPr>
          <w:rFonts w:ascii="Arial" w:hAnsi="Arial" w:cs="Arial"/>
          <w:b/>
          <w:bCs/>
          <w:i/>
          <w:caps/>
          <w:sz w:val="22"/>
          <w:szCs w:val="22"/>
        </w:rPr>
        <w:t>vERSUS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NASCIDOS VIVOS: </w:t>
      </w:r>
      <w:r w:rsidR="00EC4F35">
        <w:rPr>
          <w:rFonts w:ascii="Arial" w:hAnsi="Arial" w:cs="Arial"/>
          <w:b/>
          <w:bCs/>
          <w:caps/>
          <w:sz w:val="22"/>
          <w:szCs w:val="22"/>
        </w:rPr>
        <w:t>ESTUDO DE CAMPO</w:t>
      </w:r>
    </w:p>
    <w:p w:rsidR="0045284D" w:rsidRDefault="001B7B1C" w:rsidP="00CF54EA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Lorena Ferreira de Souza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CF54EA">
        <w:rPr>
          <w:rFonts w:ascii="Arial" w:hAnsi="Arial" w:cs="Arial"/>
          <w:b/>
          <w:bCs/>
          <w:color w:val="auto"/>
          <w:vertAlign w:val="superscript"/>
        </w:rPr>
        <w:t>*</w:t>
      </w:r>
      <w:r w:rsidR="009B7A81">
        <w:rPr>
          <w:rFonts w:ascii="Arial" w:hAnsi="Arial" w:cs="Arial"/>
          <w:b/>
          <w:bCs/>
          <w:color w:val="auto"/>
        </w:rPr>
        <w:t xml:space="preserve">, </w:t>
      </w:r>
      <w:r w:rsidR="00CF54EA">
        <w:rPr>
          <w:rFonts w:ascii="Arial" w:hAnsi="Arial" w:cs="Arial"/>
          <w:b/>
          <w:bCs/>
          <w:color w:val="auto"/>
        </w:rPr>
        <w:t>Luís Henrique Rodrigues Silva</w:t>
      </w:r>
      <w:r w:rsidR="00CF54EA" w:rsidRPr="00CF54EA">
        <w:rPr>
          <w:rFonts w:ascii="Arial" w:hAnsi="Arial" w:cs="Arial"/>
          <w:b/>
          <w:bCs/>
          <w:color w:val="auto"/>
          <w:vertAlign w:val="superscript"/>
        </w:rPr>
        <w:t>1</w:t>
      </w:r>
      <w:r w:rsidR="00CF54EA">
        <w:rPr>
          <w:rFonts w:ascii="Arial" w:hAnsi="Arial" w:cs="Arial"/>
          <w:b/>
          <w:bCs/>
          <w:color w:val="auto"/>
        </w:rPr>
        <w:t xml:space="preserve">, </w:t>
      </w:r>
      <w:r w:rsidR="009B7A81">
        <w:rPr>
          <w:rFonts w:ascii="Arial" w:hAnsi="Arial" w:cs="Arial"/>
          <w:b/>
          <w:bCs/>
          <w:color w:val="auto"/>
        </w:rPr>
        <w:t>Izabela Teixeira de Oliveira</w:t>
      </w:r>
      <w:r w:rsidR="009B7A81" w:rsidRPr="009B7A81">
        <w:rPr>
          <w:rFonts w:ascii="Arial" w:hAnsi="Arial" w:cs="Arial"/>
          <w:b/>
          <w:bCs/>
          <w:color w:val="auto"/>
          <w:vertAlign w:val="superscript"/>
        </w:rPr>
        <w:t>2</w:t>
      </w:r>
      <w:r w:rsidR="009B7A81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Poliana Campos</w:t>
      </w:r>
      <w:r w:rsidR="00976F74">
        <w:rPr>
          <w:rFonts w:ascii="Arial" w:hAnsi="Arial" w:cs="Arial"/>
          <w:b/>
          <w:bCs/>
          <w:color w:val="auto"/>
        </w:rPr>
        <w:t xml:space="preserve"> Silva </w:t>
      </w:r>
      <w:proofErr w:type="spellStart"/>
      <w:r w:rsidR="00976F74">
        <w:rPr>
          <w:rFonts w:ascii="Arial" w:hAnsi="Arial" w:cs="Arial"/>
          <w:b/>
          <w:bCs/>
          <w:color w:val="auto"/>
        </w:rPr>
        <w:t>Lelis</w:t>
      </w:r>
      <w:proofErr w:type="spellEnd"/>
      <w:r w:rsidR="00976F74">
        <w:rPr>
          <w:rFonts w:ascii="Arial" w:hAnsi="Arial" w:cs="Arial"/>
          <w:b/>
          <w:bCs/>
          <w:color w:val="auto"/>
        </w:rPr>
        <w:t xml:space="preserve"> Resende</w:t>
      </w:r>
      <w:r w:rsidR="009B7A81" w:rsidRPr="009B7A81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B7B1C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45284D">
        <w:rPr>
          <w:rFonts w:ascii="Arial" w:hAnsi="Arial" w:cs="Arial"/>
          <w:i/>
          <w:iCs/>
          <w:color w:val="auto"/>
          <w:sz w:val="14"/>
          <w:szCs w:val="18"/>
        </w:rPr>
        <w:t xml:space="preserve"> Centro Universitário UNA</w:t>
      </w:r>
      <w:r w:rsidR="001B7B1C">
        <w:rPr>
          <w:rFonts w:ascii="Arial" w:hAnsi="Arial" w:cs="Arial"/>
          <w:i/>
          <w:iCs/>
          <w:color w:val="auto"/>
          <w:sz w:val="14"/>
          <w:szCs w:val="18"/>
        </w:rPr>
        <w:t xml:space="preserve">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CF54EA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lorenasouza24@hotmail.com</w:t>
      </w:r>
    </w:p>
    <w:p w:rsidR="009B7A81" w:rsidRDefault="009B7A81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9B7A81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Veterinária autônoma – CRMV-MG 21982</w:t>
      </w:r>
    </w:p>
    <w:p w:rsidR="003D6782" w:rsidRDefault="009B7A81" w:rsidP="00976F74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1B7B1C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45284D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B7B1C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976F74" w:rsidRDefault="00976F7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24512E" w:rsidRPr="000C3AD4" w:rsidRDefault="007537B7" w:rsidP="000C3A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 </w:t>
      </w:r>
      <w:r w:rsidRPr="001C66FD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rande número de marrãs ingressa </w:t>
      </w:r>
      <w:r w:rsidR="000C3AD4" w:rsidRPr="001C66FD">
        <w:rPr>
          <w:rFonts w:ascii="Arial" w:hAnsi="Arial" w:cs="Arial"/>
          <w:sz w:val="18"/>
          <w:szCs w:val="18"/>
        </w:rPr>
        <w:t>anualmente no</w:t>
      </w:r>
      <w:r>
        <w:rPr>
          <w:rFonts w:ascii="Arial" w:hAnsi="Arial" w:cs="Arial"/>
          <w:sz w:val="18"/>
          <w:szCs w:val="18"/>
        </w:rPr>
        <w:t>s</w:t>
      </w:r>
      <w:r w:rsidR="000C3AD4" w:rsidRPr="001C66FD">
        <w:rPr>
          <w:rFonts w:ascii="Arial" w:hAnsi="Arial" w:cs="Arial"/>
          <w:sz w:val="18"/>
          <w:szCs w:val="18"/>
        </w:rPr>
        <w:t xml:space="preserve"> rebanho</w:t>
      </w:r>
      <w:r>
        <w:rPr>
          <w:rFonts w:ascii="Arial" w:hAnsi="Arial" w:cs="Arial"/>
          <w:sz w:val="18"/>
          <w:szCs w:val="18"/>
        </w:rPr>
        <w:t>s suínos brasileiros</w:t>
      </w:r>
      <w:r w:rsidR="000C3AD4" w:rsidRPr="001C66FD">
        <w:rPr>
          <w:rFonts w:ascii="Arial" w:hAnsi="Arial" w:cs="Arial"/>
          <w:sz w:val="18"/>
          <w:szCs w:val="18"/>
        </w:rPr>
        <w:t>. Essa cat</w:t>
      </w:r>
      <w:r>
        <w:rPr>
          <w:rFonts w:ascii="Arial" w:hAnsi="Arial" w:cs="Arial"/>
          <w:sz w:val="18"/>
          <w:szCs w:val="18"/>
        </w:rPr>
        <w:t xml:space="preserve">egoria de animais compõe de 30 a 40% do plantel de fêmeas, </w:t>
      </w:r>
      <w:r w:rsidR="000C3AD4" w:rsidRPr="001C66FD">
        <w:rPr>
          <w:rFonts w:ascii="Arial" w:hAnsi="Arial" w:cs="Arial"/>
          <w:sz w:val="18"/>
          <w:szCs w:val="18"/>
        </w:rPr>
        <w:t>deve</w:t>
      </w:r>
      <w:r>
        <w:rPr>
          <w:rFonts w:ascii="Arial" w:hAnsi="Arial" w:cs="Arial"/>
          <w:sz w:val="18"/>
          <w:szCs w:val="18"/>
        </w:rPr>
        <w:t xml:space="preserve">ndo ser realizado um bom </w:t>
      </w:r>
      <w:r w:rsidR="000C3AD4" w:rsidRPr="001C66FD">
        <w:rPr>
          <w:rFonts w:ascii="Arial" w:hAnsi="Arial" w:cs="Arial"/>
          <w:sz w:val="18"/>
          <w:szCs w:val="18"/>
        </w:rPr>
        <w:t>man</w:t>
      </w:r>
      <w:r>
        <w:rPr>
          <w:rFonts w:ascii="Arial" w:hAnsi="Arial" w:cs="Arial"/>
          <w:sz w:val="18"/>
          <w:szCs w:val="18"/>
        </w:rPr>
        <w:t>ejo evitando fatores que impactam negativamente</w:t>
      </w:r>
      <w:r w:rsidR="000C3AD4" w:rsidRPr="001C66FD">
        <w:rPr>
          <w:rFonts w:ascii="Arial" w:hAnsi="Arial" w:cs="Arial"/>
          <w:sz w:val="18"/>
          <w:szCs w:val="18"/>
        </w:rPr>
        <w:t xml:space="preserve"> sua vida reprodutiva</w:t>
      </w:r>
      <w:r w:rsidR="006F10D7">
        <w:rPr>
          <w:rFonts w:ascii="Arial" w:hAnsi="Arial" w:cs="Arial"/>
          <w:sz w:val="18"/>
          <w:szCs w:val="18"/>
          <w:vertAlign w:val="superscript"/>
        </w:rPr>
        <w:t>2</w:t>
      </w:r>
      <w:r w:rsidR="000C3AD4" w:rsidRPr="001C66FD">
        <w:rPr>
          <w:rFonts w:ascii="Arial" w:hAnsi="Arial" w:cs="Arial"/>
          <w:sz w:val="18"/>
          <w:szCs w:val="18"/>
        </w:rPr>
        <w:t>.</w:t>
      </w:r>
      <w:r w:rsidR="000C3AD4" w:rsidRPr="000C3AD4">
        <w:rPr>
          <w:rFonts w:ascii="Arial" w:hAnsi="Arial" w:cs="Arial"/>
          <w:sz w:val="18"/>
          <w:szCs w:val="18"/>
        </w:rPr>
        <w:t xml:space="preserve"> </w:t>
      </w:r>
      <w:r w:rsidR="000C3AD4" w:rsidRPr="001C66FD">
        <w:rPr>
          <w:rFonts w:ascii="Arial" w:hAnsi="Arial" w:cs="Arial"/>
          <w:sz w:val="18"/>
          <w:szCs w:val="18"/>
        </w:rPr>
        <w:t xml:space="preserve">O número de leitões nascidos vivos no primeiro parto </w:t>
      </w:r>
      <w:r w:rsidR="000C3AD4">
        <w:rPr>
          <w:rFonts w:ascii="Arial" w:hAnsi="Arial" w:cs="Arial"/>
          <w:sz w:val="18"/>
          <w:szCs w:val="18"/>
        </w:rPr>
        <w:t>está relacionado com</w:t>
      </w:r>
      <w:r>
        <w:rPr>
          <w:rFonts w:ascii="Arial" w:hAnsi="Arial" w:cs="Arial"/>
          <w:sz w:val="18"/>
          <w:szCs w:val="18"/>
        </w:rPr>
        <w:t xml:space="preserve"> a produtividade da fêmea suína. Portanto para obter bons resultados </w:t>
      </w:r>
      <w:r w:rsidR="000C3AD4">
        <w:rPr>
          <w:rFonts w:ascii="Arial" w:hAnsi="Arial" w:cs="Arial"/>
          <w:sz w:val="18"/>
          <w:szCs w:val="18"/>
        </w:rPr>
        <w:t xml:space="preserve">nos próximos partos junto com </w:t>
      </w:r>
      <w:r w:rsidR="008C39C0">
        <w:rPr>
          <w:rFonts w:ascii="Arial" w:hAnsi="Arial" w:cs="Arial"/>
          <w:sz w:val="18"/>
          <w:szCs w:val="18"/>
        </w:rPr>
        <w:t xml:space="preserve">bom </w:t>
      </w:r>
      <w:r w:rsidR="000C3AD4">
        <w:rPr>
          <w:rFonts w:ascii="Arial" w:hAnsi="Arial" w:cs="Arial"/>
          <w:sz w:val="18"/>
          <w:szCs w:val="18"/>
        </w:rPr>
        <w:t>desempenho re</w:t>
      </w:r>
      <w:r w:rsidR="008C39C0">
        <w:rPr>
          <w:rFonts w:ascii="Arial" w:hAnsi="Arial" w:cs="Arial"/>
          <w:sz w:val="18"/>
          <w:szCs w:val="18"/>
        </w:rPr>
        <w:t xml:space="preserve">produtivo é preciso </w:t>
      </w:r>
      <w:r w:rsidR="000C3AD4">
        <w:rPr>
          <w:rFonts w:ascii="Arial" w:hAnsi="Arial" w:cs="Arial"/>
          <w:sz w:val="18"/>
          <w:szCs w:val="18"/>
        </w:rPr>
        <w:t xml:space="preserve">uma alta </w:t>
      </w:r>
      <w:proofErr w:type="spellStart"/>
      <w:r w:rsidR="000C3AD4">
        <w:rPr>
          <w:rFonts w:ascii="Arial" w:hAnsi="Arial" w:cs="Arial"/>
          <w:sz w:val="18"/>
          <w:szCs w:val="18"/>
        </w:rPr>
        <w:t>prolificidade</w:t>
      </w:r>
      <w:proofErr w:type="spellEnd"/>
      <w:r w:rsidR="000C3AD4">
        <w:rPr>
          <w:rFonts w:ascii="Arial" w:hAnsi="Arial" w:cs="Arial"/>
          <w:sz w:val="18"/>
          <w:szCs w:val="18"/>
        </w:rPr>
        <w:t xml:space="preserve"> no primeiro parto das marrãs</w:t>
      </w:r>
      <w:r w:rsidR="006F10D7">
        <w:rPr>
          <w:rFonts w:ascii="Arial" w:hAnsi="Arial" w:cs="Arial"/>
          <w:sz w:val="18"/>
          <w:szCs w:val="18"/>
          <w:vertAlign w:val="superscript"/>
        </w:rPr>
        <w:t>3</w:t>
      </w:r>
      <w:r w:rsidR="000C3AD4">
        <w:rPr>
          <w:rFonts w:ascii="Arial" w:hAnsi="Arial" w:cs="Arial"/>
          <w:sz w:val="18"/>
          <w:szCs w:val="18"/>
        </w:rPr>
        <w:t>.</w:t>
      </w:r>
      <w:r w:rsidR="000C3AD4" w:rsidRPr="000C3AD4">
        <w:rPr>
          <w:rFonts w:ascii="Arial" w:hAnsi="Arial" w:cs="Arial"/>
          <w:sz w:val="18"/>
          <w:szCs w:val="18"/>
        </w:rPr>
        <w:t xml:space="preserve"> </w:t>
      </w:r>
      <w:r w:rsidR="000C3AD4">
        <w:rPr>
          <w:rFonts w:ascii="Arial" w:hAnsi="Arial" w:cs="Arial"/>
          <w:sz w:val="18"/>
          <w:szCs w:val="18"/>
        </w:rPr>
        <w:t>O objeti</w:t>
      </w:r>
      <w:r w:rsidR="008C39C0">
        <w:rPr>
          <w:rFonts w:ascii="Arial" w:hAnsi="Arial" w:cs="Arial"/>
          <w:sz w:val="18"/>
          <w:szCs w:val="18"/>
        </w:rPr>
        <w:t>vo deste trabalho foi com</w:t>
      </w:r>
      <w:r w:rsidR="000C3AD4">
        <w:rPr>
          <w:rFonts w:ascii="Arial" w:hAnsi="Arial" w:cs="Arial"/>
          <w:sz w:val="18"/>
          <w:szCs w:val="18"/>
        </w:rPr>
        <w:t>parar a idade da primeira cobertura em marrãs com o número de leitões nascidos</w:t>
      </w:r>
      <w:r w:rsidR="008C39C0">
        <w:rPr>
          <w:rFonts w:ascii="Arial" w:hAnsi="Arial" w:cs="Arial"/>
          <w:sz w:val="18"/>
          <w:szCs w:val="18"/>
        </w:rPr>
        <w:t xml:space="preserve"> vivos entre os anos de 2016, 2017, 2018 e 2019</w:t>
      </w:r>
      <w:r w:rsidR="000C3AD4">
        <w:rPr>
          <w:rFonts w:ascii="Arial" w:hAnsi="Arial" w:cs="Arial"/>
          <w:sz w:val="18"/>
          <w:szCs w:val="18"/>
        </w:rPr>
        <w:t>.</w:t>
      </w:r>
    </w:p>
    <w:p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:rsidR="00CF317C" w:rsidRDefault="00CF317C" w:rsidP="00D930D6">
      <w:pPr>
        <w:pStyle w:val="Corpodetexto2"/>
        <w:jc w:val="both"/>
      </w:pPr>
      <w:r>
        <w:t xml:space="preserve">O trabalho foi feito em uma granja de suínos, </w:t>
      </w:r>
      <w:r w:rsidR="008C39C0">
        <w:t xml:space="preserve">na cidade de Martinho Campos, </w:t>
      </w:r>
      <w:r>
        <w:t>no estado de Minas Gerais. A granja estudada contempla o sistema UPD (unidade produtora de leitões), no qual os animais ficam divididos conforme o tempo</w:t>
      </w:r>
      <w:r w:rsidR="00E162EE">
        <w:t xml:space="preserve"> de vida que estão e pelo trabalho que efetuam. Para a realização desse trabalho foram levantados dados estatísticos dos an</w:t>
      </w:r>
      <w:r w:rsidR="008C39C0">
        <w:t>os de 2016, 2017, 2018 e 2019, d</w:t>
      </w:r>
      <w:r w:rsidR="00E162EE">
        <w:t>os meses de janeiro a outubro</w:t>
      </w:r>
      <w:r w:rsidR="008C39C0">
        <w:t>. Foi analisada</w:t>
      </w:r>
      <w:r w:rsidR="00E162EE">
        <w:t xml:space="preserve"> também a idade da fêmea à primeira cobertura, </w:t>
      </w:r>
      <w:r w:rsidR="008C39C0">
        <w:t>dividindo-as em</w:t>
      </w:r>
      <w:r w:rsidR="006B2D5F">
        <w:t xml:space="preserve"> grupos, que são eles: menor que 220, entre 221 e 230, entre 231 e 240 e maior que 241 dias de idade. Foi pesquisado também, o núm</w:t>
      </w:r>
      <w:r w:rsidR="008C39C0">
        <w:t>ero de nascidos vivos por fêmea</w:t>
      </w:r>
      <w:r w:rsidR="006B2D5F"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E019F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RESULTADOS</w:t>
      </w:r>
      <w:r w:rsidR="00A95EDE">
        <w:rPr>
          <w:b/>
          <w:bCs/>
        </w:rPr>
        <w:t xml:space="preserve"> E DISCUSSÃO</w:t>
      </w:r>
      <w:r w:rsidR="0067418F">
        <w:rPr>
          <w:b/>
          <w:bCs/>
        </w:rPr>
        <w:t xml:space="preserve"> </w:t>
      </w:r>
    </w:p>
    <w:p w:rsidR="00056CCA" w:rsidRDefault="00E64B67" w:rsidP="00D930D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que se refere aos dia</w:t>
      </w:r>
      <w:r w:rsidR="00EC3C5C">
        <w:rPr>
          <w:rFonts w:ascii="Arial" w:hAnsi="Arial" w:cs="Arial"/>
          <w:color w:val="000000"/>
          <w:sz w:val="18"/>
          <w:szCs w:val="18"/>
        </w:rPr>
        <w:t>s de cobertura, não houve</w:t>
      </w:r>
      <w:r>
        <w:rPr>
          <w:rFonts w:ascii="Arial" w:hAnsi="Arial" w:cs="Arial"/>
          <w:color w:val="000000"/>
          <w:sz w:val="18"/>
          <w:szCs w:val="18"/>
        </w:rPr>
        <w:t xml:space="preserve"> diferença (P&gt;0,05</w:t>
      </w:r>
      <w:r w:rsidR="00990C59">
        <w:rPr>
          <w:rFonts w:ascii="Arial" w:hAnsi="Arial" w:cs="Arial"/>
          <w:color w:val="000000"/>
          <w:sz w:val="18"/>
          <w:szCs w:val="18"/>
        </w:rPr>
        <w:t xml:space="preserve">), </w:t>
      </w:r>
      <w:r w:rsidR="00EC3C5C">
        <w:rPr>
          <w:rFonts w:ascii="Arial" w:hAnsi="Arial" w:cs="Arial"/>
          <w:color w:val="000000"/>
          <w:sz w:val="18"/>
          <w:szCs w:val="18"/>
        </w:rPr>
        <w:t>ou seja, independente do dia que a fêmea por inseminada se obtém o mesmo número de nascidos vivos. P</w:t>
      </w:r>
      <w:r w:rsidR="00990C59">
        <w:rPr>
          <w:rFonts w:ascii="Arial" w:hAnsi="Arial" w:cs="Arial"/>
          <w:color w:val="000000"/>
          <w:sz w:val="18"/>
          <w:szCs w:val="18"/>
        </w:rPr>
        <w:t>orém entre os anos</w:t>
      </w:r>
      <w:r w:rsidR="00EC3C5C">
        <w:rPr>
          <w:rFonts w:ascii="Arial" w:hAnsi="Arial" w:cs="Arial"/>
          <w:color w:val="000000"/>
          <w:sz w:val="18"/>
          <w:szCs w:val="18"/>
        </w:rPr>
        <w:t>,</w:t>
      </w:r>
      <w:r w:rsidR="00990C59">
        <w:rPr>
          <w:rFonts w:ascii="Arial" w:hAnsi="Arial" w:cs="Arial"/>
          <w:color w:val="000000"/>
          <w:sz w:val="18"/>
          <w:szCs w:val="18"/>
        </w:rPr>
        <w:t xml:space="preserve"> no que se refere ao número de na</w:t>
      </w:r>
      <w:r w:rsidR="00EC3C5C">
        <w:rPr>
          <w:rFonts w:ascii="Arial" w:hAnsi="Arial" w:cs="Arial"/>
          <w:color w:val="000000"/>
          <w:sz w:val="18"/>
          <w:szCs w:val="18"/>
        </w:rPr>
        <w:t>scidos entre os meses avaliados</w:t>
      </w:r>
      <w:r w:rsidR="003B32B5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5C">
        <w:rPr>
          <w:rFonts w:ascii="Arial" w:hAnsi="Arial" w:cs="Arial"/>
          <w:color w:val="000000"/>
          <w:sz w:val="18"/>
          <w:szCs w:val="18"/>
        </w:rPr>
        <w:t xml:space="preserve">houve </w:t>
      </w:r>
      <w:r w:rsidR="003B32B5">
        <w:rPr>
          <w:rFonts w:ascii="Arial" w:hAnsi="Arial" w:cs="Arial"/>
          <w:color w:val="000000"/>
          <w:sz w:val="18"/>
          <w:szCs w:val="18"/>
        </w:rPr>
        <w:t xml:space="preserve">diferença </w:t>
      </w:r>
      <w:r w:rsidR="00990C59">
        <w:rPr>
          <w:rFonts w:ascii="Arial" w:hAnsi="Arial" w:cs="Arial"/>
          <w:color w:val="000000"/>
          <w:sz w:val="18"/>
          <w:szCs w:val="18"/>
        </w:rPr>
        <w:t>(P&lt;0,05) (Tabela 1).</w:t>
      </w:r>
      <w:r w:rsidR="00EC3C5C">
        <w:rPr>
          <w:rFonts w:ascii="Arial" w:hAnsi="Arial" w:cs="Arial"/>
          <w:color w:val="000000"/>
          <w:sz w:val="18"/>
          <w:szCs w:val="18"/>
        </w:rPr>
        <w:t xml:space="preserve"> O</w:t>
      </w:r>
      <w:r w:rsidR="005A4107">
        <w:rPr>
          <w:rFonts w:ascii="Arial" w:hAnsi="Arial" w:cs="Arial"/>
          <w:color w:val="000000"/>
          <w:sz w:val="18"/>
          <w:szCs w:val="18"/>
        </w:rPr>
        <w:t xml:space="preserve"> coefici</w:t>
      </w:r>
      <w:r w:rsidR="00EC3C5C">
        <w:rPr>
          <w:rFonts w:ascii="Arial" w:hAnsi="Arial" w:cs="Arial"/>
          <w:color w:val="000000"/>
          <w:sz w:val="18"/>
          <w:szCs w:val="18"/>
        </w:rPr>
        <w:t>ente de variação pequeno indica</w:t>
      </w:r>
      <w:r w:rsidR="005254AE">
        <w:rPr>
          <w:rFonts w:ascii="Arial" w:hAnsi="Arial" w:cs="Arial"/>
          <w:color w:val="000000"/>
          <w:sz w:val="18"/>
          <w:szCs w:val="18"/>
        </w:rPr>
        <w:t xml:space="preserve"> que esses dados estão concisos. Em relação aos dias de inseminação </w:t>
      </w:r>
      <w:r w:rsidR="00EC3C5C">
        <w:rPr>
          <w:rFonts w:ascii="Arial" w:hAnsi="Arial" w:cs="Arial"/>
          <w:color w:val="000000"/>
          <w:sz w:val="18"/>
          <w:szCs w:val="18"/>
        </w:rPr>
        <w:t xml:space="preserve">das porcas não houve </w:t>
      </w:r>
      <w:r w:rsidR="005254AE">
        <w:rPr>
          <w:rFonts w:ascii="Arial" w:hAnsi="Arial" w:cs="Arial"/>
          <w:color w:val="000000"/>
          <w:sz w:val="18"/>
          <w:szCs w:val="18"/>
        </w:rPr>
        <w:t>diferença (Tabela 2). No que se ref</w:t>
      </w:r>
      <w:r w:rsidR="00E019F3">
        <w:rPr>
          <w:rFonts w:ascii="Arial" w:hAnsi="Arial" w:cs="Arial"/>
          <w:color w:val="000000"/>
          <w:sz w:val="18"/>
          <w:szCs w:val="18"/>
        </w:rPr>
        <w:t xml:space="preserve">ere aos anos analisados houve </w:t>
      </w:r>
      <w:r w:rsidR="005254AE">
        <w:rPr>
          <w:rFonts w:ascii="Arial" w:hAnsi="Arial" w:cs="Arial"/>
          <w:color w:val="000000"/>
          <w:sz w:val="18"/>
          <w:szCs w:val="18"/>
        </w:rPr>
        <w:t>diferença</w:t>
      </w:r>
      <w:r w:rsidR="00AD610A">
        <w:rPr>
          <w:rFonts w:ascii="Arial" w:hAnsi="Arial" w:cs="Arial"/>
          <w:color w:val="000000"/>
          <w:sz w:val="18"/>
          <w:szCs w:val="18"/>
        </w:rPr>
        <w:t>, na quantidade de leitões nascidos vivos</w:t>
      </w:r>
      <w:r w:rsidR="005254AE">
        <w:rPr>
          <w:rFonts w:ascii="Arial" w:hAnsi="Arial" w:cs="Arial"/>
          <w:color w:val="000000"/>
          <w:sz w:val="18"/>
          <w:szCs w:val="18"/>
        </w:rPr>
        <w:t xml:space="preserve"> (Tabela 3).</w:t>
      </w:r>
    </w:p>
    <w:p w:rsidR="00AE46AD" w:rsidRDefault="00AE46AD" w:rsidP="00276B5F">
      <w:pPr>
        <w:rPr>
          <w:rFonts w:ascii="Arial" w:hAnsi="Arial" w:cs="Arial"/>
          <w:color w:val="000000"/>
          <w:sz w:val="18"/>
          <w:szCs w:val="18"/>
        </w:rPr>
      </w:pPr>
    </w:p>
    <w:p w:rsidR="00217DD3" w:rsidRDefault="00217DD3" w:rsidP="00276B5F">
      <w:pPr>
        <w:rPr>
          <w:rFonts w:ascii="Arial" w:hAnsi="Arial" w:cs="Arial"/>
          <w:color w:val="000000"/>
          <w:sz w:val="18"/>
          <w:szCs w:val="18"/>
        </w:rPr>
      </w:pPr>
    </w:p>
    <w:p w:rsidR="00217DD3" w:rsidRDefault="00217DD3" w:rsidP="00276B5F">
      <w:pPr>
        <w:rPr>
          <w:rFonts w:ascii="Arial" w:hAnsi="Arial" w:cs="Arial"/>
          <w:color w:val="000000"/>
          <w:sz w:val="18"/>
          <w:szCs w:val="18"/>
        </w:rPr>
      </w:pPr>
    </w:p>
    <w:p w:rsidR="00217DD3" w:rsidRPr="00276B5F" w:rsidRDefault="00217DD3" w:rsidP="00217DD3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Tabela 1 – </w:t>
      </w:r>
      <w:r>
        <w:rPr>
          <w:rFonts w:ascii="Arial" w:hAnsi="Arial" w:cs="Arial"/>
          <w:color w:val="000000"/>
          <w:sz w:val="18"/>
          <w:szCs w:val="18"/>
        </w:rPr>
        <w:t>Tabela de análise de variância</w:t>
      </w:r>
      <w:r w:rsidR="006F10D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</w:t>
      </w:r>
    </w:p>
    <w:p w:rsidR="00384D62" w:rsidRPr="00384D62" w:rsidRDefault="00384D62" w:rsidP="00217DD3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SombreamentoClaro1"/>
        <w:tblW w:w="0" w:type="auto"/>
        <w:shd w:val="clear" w:color="auto" w:fill="FFFFFF" w:themeFill="background1"/>
        <w:tblLook w:val="04A0"/>
      </w:tblPr>
      <w:tblGrid>
        <w:gridCol w:w="1366"/>
        <w:gridCol w:w="1367"/>
        <w:gridCol w:w="1367"/>
        <w:gridCol w:w="1367"/>
      </w:tblGrid>
      <w:tr w:rsidR="005254AE" w:rsidRPr="003A7150" w:rsidTr="003A7150">
        <w:trPr>
          <w:cnfStyle w:val="100000000000"/>
        </w:trPr>
        <w:tc>
          <w:tcPr>
            <w:cnfStyle w:val="001000000000"/>
            <w:tcW w:w="1366" w:type="dxa"/>
            <w:shd w:val="clear" w:color="auto" w:fill="FFFFFF" w:themeFill="background1"/>
          </w:tcPr>
          <w:p w:rsidR="005254AE" w:rsidRPr="003A7150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150">
              <w:rPr>
                <w:rFonts w:ascii="Arial" w:hAnsi="Arial" w:cs="Arial"/>
                <w:color w:val="000000"/>
                <w:sz w:val="18"/>
                <w:szCs w:val="18"/>
              </w:rPr>
              <w:t>FV*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Pr="003A7150" w:rsidRDefault="005254AE" w:rsidP="00D930D6">
            <w:pPr>
              <w:jc w:val="both"/>
              <w:cnfStyle w:val="1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150">
              <w:rPr>
                <w:rFonts w:ascii="Arial" w:hAnsi="Arial" w:cs="Arial"/>
                <w:color w:val="000000"/>
                <w:sz w:val="18"/>
                <w:szCs w:val="18"/>
              </w:rPr>
              <w:t>QM**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Pr="003A7150" w:rsidRDefault="005254AE" w:rsidP="00D930D6">
            <w:pPr>
              <w:jc w:val="both"/>
              <w:cnfStyle w:val="1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150">
              <w:rPr>
                <w:rFonts w:ascii="Arial" w:hAnsi="Arial" w:cs="Arial"/>
                <w:color w:val="000000"/>
                <w:sz w:val="18"/>
                <w:szCs w:val="18"/>
              </w:rPr>
              <w:t>FC***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Pr="003A7150" w:rsidRDefault="005254AE" w:rsidP="00D930D6">
            <w:pPr>
              <w:jc w:val="both"/>
              <w:cnfStyle w:val="1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150">
              <w:rPr>
                <w:rFonts w:ascii="Arial" w:hAnsi="Arial" w:cs="Arial"/>
                <w:color w:val="000000"/>
                <w:sz w:val="18"/>
                <w:szCs w:val="18"/>
              </w:rPr>
              <w:t>PR&gt;FC****</w:t>
            </w:r>
          </w:p>
        </w:tc>
      </w:tr>
      <w:tr w:rsidR="005254AE" w:rsidTr="003A7150">
        <w:trPr>
          <w:cnfStyle w:val="000000100000"/>
        </w:trPr>
        <w:tc>
          <w:tcPr>
            <w:cnfStyle w:val="001000000000"/>
            <w:tcW w:w="1366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Dias de cobertura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0,116823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1,484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0,2836</w:t>
            </w:r>
          </w:p>
        </w:tc>
      </w:tr>
      <w:tr w:rsidR="005254AE" w:rsidTr="003A7150">
        <w:tc>
          <w:tcPr>
            <w:cnfStyle w:val="001000000000"/>
            <w:tcW w:w="1366" w:type="dxa"/>
            <w:tcBorders>
              <w:bottom w:val="nil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Anos</w:t>
            </w:r>
          </w:p>
        </w:tc>
        <w:tc>
          <w:tcPr>
            <w:tcW w:w="1367" w:type="dxa"/>
            <w:tcBorders>
              <w:bottom w:val="nil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0,533456</w:t>
            </w:r>
          </w:p>
        </w:tc>
        <w:tc>
          <w:tcPr>
            <w:tcW w:w="1367" w:type="dxa"/>
            <w:tcBorders>
              <w:bottom w:val="nil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6,777</w:t>
            </w:r>
          </w:p>
        </w:tc>
        <w:tc>
          <w:tcPr>
            <w:tcW w:w="1367" w:type="dxa"/>
            <w:tcBorders>
              <w:bottom w:val="nil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0,0110</w:t>
            </w:r>
          </w:p>
        </w:tc>
      </w:tr>
      <w:tr w:rsidR="005254AE" w:rsidTr="003A7150">
        <w:trPr>
          <w:cnfStyle w:val="000000100000"/>
        </w:trPr>
        <w:tc>
          <w:tcPr>
            <w:cnfStyle w:val="001000000000"/>
            <w:tcW w:w="1366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Erro</w:t>
            </w:r>
          </w:p>
        </w:tc>
        <w:tc>
          <w:tcPr>
            <w:tcW w:w="136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0,078717</w:t>
            </w:r>
          </w:p>
        </w:tc>
        <w:tc>
          <w:tcPr>
            <w:tcW w:w="136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4AE" w:rsidTr="003A7150">
        <w:tc>
          <w:tcPr>
            <w:cnfStyle w:val="001000000000"/>
            <w:tcW w:w="1366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CV (%) *****</w:t>
            </w:r>
          </w:p>
        </w:tc>
        <w:tc>
          <w:tcPr>
            <w:tcW w:w="13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3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4AE" w:rsidTr="003A7150">
        <w:trPr>
          <w:cnfStyle w:val="000000100000"/>
        </w:trPr>
        <w:tc>
          <w:tcPr>
            <w:cnfStyle w:val="001000000000"/>
            <w:tcW w:w="1366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Média geral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254AE" w:rsidRDefault="005254AE" w:rsidP="00D930D6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76F74" w:rsidRDefault="00976F74" w:rsidP="00976F74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D3FF1" w:rsidRDefault="005D3FF1" w:rsidP="00D930D6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17DD3" w:rsidRDefault="00217DD3" w:rsidP="00D930D6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84D62" w:rsidRDefault="00384D62" w:rsidP="00217DD3">
      <w:pPr>
        <w:rPr>
          <w:rFonts w:ascii="Arial" w:hAnsi="Arial" w:cs="Arial"/>
          <w:color w:val="000000"/>
          <w:sz w:val="18"/>
          <w:szCs w:val="18"/>
        </w:rPr>
      </w:pPr>
    </w:p>
    <w:p w:rsidR="00217DD3" w:rsidRPr="00276B5F" w:rsidRDefault="00217DD3" w:rsidP="00217DD3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Tabela 2 – </w:t>
      </w:r>
      <w:r>
        <w:rPr>
          <w:rFonts w:ascii="Arial" w:hAnsi="Arial" w:cs="Arial"/>
          <w:color w:val="000000"/>
          <w:sz w:val="18"/>
          <w:szCs w:val="18"/>
        </w:rPr>
        <w:t>Tabela com os dias de cobertura das porcas</w:t>
      </w:r>
      <w:r w:rsidR="006F10D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84D62" w:rsidRDefault="00384D62" w:rsidP="00217DD3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SombreamentoClaro1"/>
        <w:tblW w:w="0" w:type="auto"/>
        <w:shd w:val="clear" w:color="auto" w:fill="FFFFFF" w:themeFill="background1"/>
        <w:tblLook w:val="04A0"/>
      </w:tblPr>
      <w:tblGrid>
        <w:gridCol w:w="2733"/>
        <w:gridCol w:w="2734"/>
      </w:tblGrid>
      <w:tr w:rsidR="00384D62" w:rsidTr="00384D62">
        <w:trPr>
          <w:cnfStyle w:val="1000000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384D62" w:rsidRPr="00384D62" w:rsidRDefault="00384D62" w:rsidP="00384D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color w:val="000000"/>
                <w:sz w:val="18"/>
                <w:szCs w:val="18"/>
              </w:rPr>
              <w:t>Tratamentos (dias)</w:t>
            </w:r>
          </w:p>
        </w:tc>
        <w:tc>
          <w:tcPr>
            <w:tcW w:w="2734" w:type="dxa"/>
            <w:shd w:val="clear" w:color="auto" w:fill="FFFFFF" w:themeFill="background1"/>
          </w:tcPr>
          <w:p w:rsidR="00384D62" w:rsidRPr="00384D62" w:rsidRDefault="00384D62" w:rsidP="00384D62">
            <w:pPr>
              <w:cnfStyle w:val="1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color w:val="000000"/>
                <w:sz w:val="18"/>
                <w:szCs w:val="18"/>
              </w:rPr>
              <w:t>Médias*</w:t>
            </w:r>
          </w:p>
        </w:tc>
      </w:tr>
      <w:tr w:rsidR="00384D62" w:rsidTr="00384D62">
        <w:trPr>
          <w:cnfStyle w:val="0000001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384D62" w:rsidRPr="00384D62" w:rsidRDefault="00384D62" w:rsidP="00384D62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&gt;241</w:t>
            </w:r>
          </w:p>
        </w:tc>
        <w:tc>
          <w:tcPr>
            <w:tcW w:w="2734" w:type="dxa"/>
            <w:shd w:val="clear" w:color="auto" w:fill="FFFFFF" w:themeFill="background1"/>
          </w:tcPr>
          <w:p w:rsidR="00384D62" w:rsidRDefault="00384D62" w:rsidP="00384D6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13,03 a</w:t>
            </w:r>
          </w:p>
        </w:tc>
      </w:tr>
      <w:tr w:rsidR="00384D62" w:rsidTr="00384D62">
        <w:tc>
          <w:tcPr>
            <w:cnfStyle w:val="001000000000"/>
            <w:tcW w:w="2733" w:type="dxa"/>
            <w:shd w:val="clear" w:color="auto" w:fill="FFFFFF" w:themeFill="background1"/>
          </w:tcPr>
          <w:p w:rsidR="00384D62" w:rsidRPr="00384D62" w:rsidRDefault="00384D62" w:rsidP="00384D62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221-230</w:t>
            </w:r>
          </w:p>
        </w:tc>
        <w:tc>
          <w:tcPr>
            <w:tcW w:w="2734" w:type="dxa"/>
            <w:shd w:val="clear" w:color="auto" w:fill="FFFFFF" w:themeFill="background1"/>
          </w:tcPr>
          <w:p w:rsidR="00384D62" w:rsidRDefault="00384D62" w:rsidP="00384D6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12,88 a</w:t>
            </w:r>
          </w:p>
        </w:tc>
      </w:tr>
      <w:tr w:rsidR="00384D62" w:rsidTr="00384D62">
        <w:trPr>
          <w:cnfStyle w:val="0000001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384D62" w:rsidRPr="00384D62" w:rsidRDefault="00384D62" w:rsidP="00384D62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231-240</w:t>
            </w:r>
          </w:p>
        </w:tc>
        <w:tc>
          <w:tcPr>
            <w:tcW w:w="2734" w:type="dxa"/>
            <w:shd w:val="clear" w:color="auto" w:fill="FFFFFF" w:themeFill="background1"/>
          </w:tcPr>
          <w:p w:rsidR="00384D62" w:rsidRDefault="00384D62" w:rsidP="00384D6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 a</w:t>
            </w:r>
          </w:p>
        </w:tc>
      </w:tr>
      <w:tr w:rsidR="00384D62" w:rsidTr="00384D62">
        <w:tc>
          <w:tcPr>
            <w:cnfStyle w:val="001000000000"/>
            <w:tcW w:w="2733" w:type="dxa"/>
            <w:shd w:val="clear" w:color="auto" w:fill="FFFFFF" w:themeFill="background1"/>
          </w:tcPr>
          <w:p w:rsidR="00384D62" w:rsidRPr="00384D62" w:rsidRDefault="00384D62" w:rsidP="00384D62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84D62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&lt;220</w:t>
            </w:r>
          </w:p>
        </w:tc>
        <w:tc>
          <w:tcPr>
            <w:tcW w:w="2734" w:type="dxa"/>
            <w:shd w:val="clear" w:color="auto" w:fill="FFFFFF" w:themeFill="background1"/>
          </w:tcPr>
          <w:p w:rsidR="00384D62" w:rsidRDefault="00384D62" w:rsidP="00384D6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12,62 a</w:t>
            </w:r>
          </w:p>
        </w:tc>
      </w:tr>
    </w:tbl>
    <w:p w:rsidR="00384D62" w:rsidRDefault="00384D62" w:rsidP="00384D62">
      <w:pPr>
        <w:rPr>
          <w:rFonts w:ascii="Arial" w:hAnsi="Arial" w:cs="Arial"/>
          <w:color w:val="000000"/>
          <w:sz w:val="18"/>
          <w:szCs w:val="18"/>
        </w:rPr>
      </w:pPr>
    </w:p>
    <w:p w:rsidR="00976F74" w:rsidRDefault="00976F74" w:rsidP="00193637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976F74" w:rsidRDefault="00976F74" w:rsidP="00276B5F">
      <w:pPr>
        <w:rPr>
          <w:rFonts w:ascii="Arial" w:hAnsi="Arial" w:cs="Arial"/>
          <w:b/>
          <w:color w:val="000000"/>
          <w:sz w:val="18"/>
          <w:szCs w:val="18"/>
        </w:rPr>
      </w:pPr>
    </w:p>
    <w:p w:rsidR="00217DD3" w:rsidRPr="00217DD3" w:rsidRDefault="00217DD3" w:rsidP="00217DD3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Tabela 3 – </w:t>
      </w:r>
      <w:r>
        <w:rPr>
          <w:rFonts w:ascii="Arial" w:hAnsi="Arial" w:cs="Arial"/>
          <w:color w:val="000000"/>
          <w:sz w:val="18"/>
          <w:szCs w:val="18"/>
        </w:rPr>
        <w:t>Tabela com as médias de cada ano do experimento</w:t>
      </w:r>
      <w:r w:rsidR="006F10D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193637" w:rsidRDefault="00193637" w:rsidP="00193637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SombreamentoClaro1"/>
        <w:tblW w:w="0" w:type="auto"/>
        <w:shd w:val="clear" w:color="auto" w:fill="FFFFFF" w:themeFill="background1"/>
        <w:tblLook w:val="04A0"/>
      </w:tblPr>
      <w:tblGrid>
        <w:gridCol w:w="2733"/>
        <w:gridCol w:w="2734"/>
      </w:tblGrid>
      <w:tr w:rsidR="00193637" w:rsidTr="00111434">
        <w:trPr>
          <w:cnfStyle w:val="1000000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734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cnfStyle w:val="1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Médias</w:t>
            </w:r>
          </w:p>
        </w:tc>
      </w:tr>
      <w:tr w:rsidR="00193637" w:rsidTr="00111434">
        <w:trPr>
          <w:cnfStyle w:val="0000001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193637" w:rsidRPr="00193637" w:rsidRDefault="00193637" w:rsidP="00111434">
            <w:p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93637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34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a</w:t>
            </w:r>
          </w:p>
        </w:tc>
      </w:tr>
      <w:tr w:rsidR="00193637" w:rsidTr="00111434">
        <w:tc>
          <w:tcPr>
            <w:cnfStyle w:val="001000000000"/>
            <w:tcW w:w="2733" w:type="dxa"/>
            <w:shd w:val="clear" w:color="auto" w:fill="FFFFFF" w:themeFill="background1"/>
          </w:tcPr>
          <w:p w:rsidR="00193637" w:rsidRPr="00193637" w:rsidRDefault="00193637" w:rsidP="00111434">
            <w:p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93637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734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b</w:t>
            </w:r>
          </w:p>
        </w:tc>
      </w:tr>
      <w:tr w:rsidR="00193637" w:rsidTr="00111434">
        <w:trPr>
          <w:cnfStyle w:val="000000100000"/>
        </w:trPr>
        <w:tc>
          <w:tcPr>
            <w:cnfStyle w:val="001000000000"/>
            <w:tcW w:w="2733" w:type="dxa"/>
            <w:shd w:val="clear" w:color="auto" w:fill="FFFFFF" w:themeFill="background1"/>
          </w:tcPr>
          <w:p w:rsidR="00193637" w:rsidRPr="00193637" w:rsidRDefault="00193637" w:rsidP="00111434">
            <w:p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93637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734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b</w:t>
            </w:r>
          </w:p>
        </w:tc>
      </w:tr>
      <w:tr w:rsidR="00193637" w:rsidTr="00111434">
        <w:tc>
          <w:tcPr>
            <w:cnfStyle w:val="001000000000"/>
            <w:tcW w:w="2733" w:type="dxa"/>
            <w:shd w:val="clear" w:color="auto" w:fill="FFFFFF" w:themeFill="background1"/>
          </w:tcPr>
          <w:p w:rsidR="00193637" w:rsidRPr="00193637" w:rsidRDefault="00193637" w:rsidP="00111434">
            <w:p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193637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734" w:type="dxa"/>
            <w:shd w:val="clear" w:color="auto" w:fill="FFFFFF" w:themeFill="background1"/>
          </w:tcPr>
          <w:p w:rsidR="00193637" w:rsidRDefault="00193637" w:rsidP="00111434">
            <w:pPr>
              <w:jc w:val="both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b</w:t>
            </w:r>
          </w:p>
        </w:tc>
      </w:tr>
    </w:tbl>
    <w:p w:rsidR="00384D62" w:rsidRDefault="00384D62" w:rsidP="00384D62">
      <w:pPr>
        <w:rPr>
          <w:rFonts w:ascii="Arial" w:hAnsi="Arial" w:cs="Arial"/>
          <w:color w:val="000000"/>
          <w:sz w:val="18"/>
          <w:szCs w:val="18"/>
        </w:rPr>
      </w:pPr>
    </w:p>
    <w:p w:rsidR="0045284D" w:rsidRDefault="0045284D" w:rsidP="00BF19C7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3D6782" w:rsidRPr="00BF19C7" w:rsidRDefault="00941C22" w:rsidP="00BF19C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Analisando os dados, foi observado que as matrizes com idade inferior a 220 dias de vida já podem ser inseminadas da mesma forma que os grupos de idades mais antigas, pois foram mostrados resultados reprodutivos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aproximados</w:t>
      </w:r>
      <w:r w:rsidR="00276B5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5284D" w:rsidRPr="0045284D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proofErr w:type="gramEnd"/>
      <w:r w:rsidR="00276B5F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9F0EAB">
        <w:rPr>
          <w:rFonts w:ascii="Arial" w:hAnsi="Arial" w:cs="Arial"/>
          <w:color w:val="000000"/>
          <w:sz w:val="18"/>
          <w:szCs w:val="18"/>
        </w:rPr>
        <w:t xml:space="preserve"> Entre os grup</w:t>
      </w:r>
      <w:r w:rsidR="00E019F3">
        <w:rPr>
          <w:rFonts w:ascii="Arial" w:hAnsi="Arial" w:cs="Arial"/>
          <w:color w:val="000000"/>
          <w:sz w:val="18"/>
          <w:szCs w:val="18"/>
        </w:rPr>
        <w:t xml:space="preserve">os analisados, não houve </w:t>
      </w:r>
      <w:r w:rsidR="009F0EAB">
        <w:rPr>
          <w:rFonts w:ascii="Arial" w:hAnsi="Arial" w:cs="Arial"/>
          <w:color w:val="000000"/>
          <w:sz w:val="18"/>
          <w:szCs w:val="18"/>
        </w:rPr>
        <w:t>diferença estatística (P&gt;0,05) em relação os d</w:t>
      </w:r>
      <w:r w:rsidR="00E019F3">
        <w:rPr>
          <w:rFonts w:ascii="Arial" w:hAnsi="Arial" w:cs="Arial"/>
          <w:color w:val="000000"/>
          <w:sz w:val="18"/>
          <w:szCs w:val="18"/>
        </w:rPr>
        <w:t xml:space="preserve">ias de cobertura, mostrando </w:t>
      </w:r>
      <w:r w:rsidR="009F0EAB">
        <w:rPr>
          <w:rFonts w:ascii="Arial" w:hAnsi="Arial" w:cs="Arial"/>
          <w:color w:val="000000"/>
          <w:sz w:val="18"/>
          <w:szCs w:val="18"/>
        </w:rPr>
        <w:t>que</w:t>
      </w:r>
      <w:r w:rsidR="00E019F3">
        <w:rPr>
          <w:rFonts w:ascii="Arial" w:hAnsi="Arial" w:cs="Arial"/>
          <w:color w:val="000000"/>
          <w:sz w:val="18"/>
          <w:szCs w:val="18"/>
        </w:rPr>
        <w:t xml:space="preserve"> as médias de leitões vivos</w:t>
      </w:r>
      <w:r w:rsidR="009F0EAB">
        <w:rPr>
          <w:rFonts w:ascii="Arial" w:hAnsi="Arial" w:cs="Arial"/>
          <w:color w:val="000000"/>
          <w:sz w:val="18"/>
          <w:szCs w:val="18"/>
        </w:rPr>
        <w:t xml:space="preserve"> são igua</w:t>
      </w:r>
      <w:r w:rsidR="00E019F3">
        <w:rPr>
          <w:rFonts w:ascii="Arial" w:hAnsi="Arial" w:cs="Arial"/>
          <w:color w:val="000000"/>
          <w:sz w:val="18"/>
          <w:szCs w:val="18"/>
        </w:rPr>
        <w:t>is estatisticamente. Portanto,</w:t>
      </w:r>
      <w:r w:rsidR="00BF19C7">
        <w:rPr>
          <w:rFonts w:ascii="Arial" w:hAnsi="Arial" w:cs="Arial"/>
          <w:color w:val="000000"/>
          <w:sz w:val="18"/>
          <w:szCs w:val="18"/>
        </w:rPr>
        <w:t xml:space="preserve"> foi alcançada a mesma quantidade de filhotes por animal, apesar do dia que as mar</w:t>
      </w:r>
      <w:r w:rsidR="00E019F3">
        <w:rPr>
          <w:rFonts w:ascii="Arial" w:hAnsi="Arial" w:cs="Arial"/>
          <w:color w:val="000000"/>
          <w:sz w:val="18"/>
          <w:szCs w:val="18"/>
        </w:rPr>
        <w:t>rãs foram inseminadas. Porém,</w:t>
      </w:r>
      <w:r w:rsidR="00BF19C7">
        <w:rPr>
          <w:rFonts w:ascii="Arial" w:hAnsi="Arial" w:cs="Arial"/>
          <w:color w:val="000000"/>
          <w:sz w:val="18"/>
          <w:szCs w:val="18"/>
        </w:rPr>
        <w:t xml:space="preserve"> houve diferença (P&lt;0,05), entr</w:t>
      </w:r>
      <w:r w:rsidR="00AA3880">
        <w:rPr>
          <w:rFonts w:ascii="Arial" w:hAnsi="Arial" w:cs="Arial"/>
          <w:color w:val="000000"/>
          <w:sz w:val="18"/>
          <w:szCs w:val="18"/>
        </w:rPr>
        <w:t xml:space="preserve">e os anos que foram averiguados. No ano de 2019 houve uma </w:t>
      </w:r>
      <w:r w:rsidR="00BF19C7">
        <w:rPr>
          <w:rFonts w:ascii="Arial" w:hAnsi="Arial" w:cs="Arial"/>
          <w:color w:val="000000"/>
          <w:sz w:val="18"/>
          <w:szCs w:val="18"/>
        </w:rPr>
        <w:t xml:space="preserve">maior média de leitões vivos, tendo em consideração os anos anteriores. Isso é referente aos vários modos que a granja adota, </w:t>
      </w:r>
      <w:r w:rsidR="00AA3880">
        <w:rPr>
          <w:rFonts w:ascii="Arial" w:hAnsi="Arial" w:cs="Arial"/>
          <w:color w:val="000000"/>
          <w:sz w:val="18"/>
          <w:szCs w:val="18"/>
        </w:rPr>
        <w:t xml:space="preserve">como exemplo disso, exigente </w:t>
      </w:r>
      <w:r w:rsidR="00BF19C7">
        <w:rPr>
          <w:rFonts w:ascii="Arial" w:hAnsi="Arial" w:cs="Arial"/>
          <w:color w:val="000000"/>
          <w:sz w:val="18"/>
          <w:szCs w:val="18"/>
        </w:rPr>
        <w:t>manejo</w:t>
      </w:r>
      <w:r w:rsidR="00AA3880">
        <w:rPr>
          <w:rFonts w:ascii="Arial" w:hAnsi="Arial" w:cs="Arial"/>
          <w:color w:val="000000"/>
          <w:sz w:val="18"/>
          <w:szCs w:val="18"/>
        </w:rPr>
        <w:t xml:space="preserve"> que a granja segue</w:t>
      </w:r>
      <w:r w:rsidR="00BF19C7">
        <w:rPr>
          <w:rFonts w:ascii="Arial" w:hAnsi="Arial" w:cs="Arial"/>
          <w:color w:val="000000"/>
          <w:sz w:val="18"/>
          <w:szCs w:val="18"/>
        </w:rPr>
        <w:t xml:space="preserve"> e de suporte reprodutivo.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:rsidR="00754A77" w:rsidRDefault="00AA388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 base nesse estudo, pode-se </w:t>
      </w:r>
      <w:r w:rsidR="00BF19C7">
        <w:rPr>
          <w:rFonts w:ascii="Arial" w:hAnsi="Arial" w:cs="Arial"/>
          <w:sz w:val="18"/>
        </w:rPr>
        <w:t>concluir que</w:t>
      </w:r>
      <w:r>
        <w:rPr>
          <w:rFonts w:ascii="Arial" w:hAnsi="Arial" w:cs="Arial"/>
          <w:sz w:val="18"/>
        </w:rPr>
        <w:t xml:space="preserve"> não houve influência da idade da porca no </w:t>
      </w:r>
      <w:r w:rsidR="00BF19C7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úmero de leitões nascidos vivos</w:t>
      </w:r>
      <w:r w:rsidR="00BF19C7">
        <w:rPr>
          <w:rFonts w:ascii="Arial" w:hAnsi="Arial" w:cs="Arial"/>
          <w:sz w:val="18"/>
        </w:rPr>
        <w:t xml:space="preserve">. Conclui-se também que em 2019 </w:t>
      </w:r>
      <w:r w:rsidR="00754A77">
        <w:rPr>
          <w:rFonts w:ascii="Arial" w:hAnsi="Arial" w:cs="Arial"/>
          <w:sz w:val="18"/>
        </w:rPr>
        <w:t>foi obti</w:t>
      </w:r>
      <w:r>
        <w:rPr>
          <w:rFonts w:ascii="Arial" w:hAnsi="Arial" w:cs="Arial"/>
          <w:sz w:val="18"/>
        </w:rPr>
        <w:t>da a maior média de nascidos, entre os anos pesquisados, em</w:t>
      </w:r>
      <w:r w:rsidR="00754A77">
        <w:rPr>
          <w:rFonts w:ascii="Arial" w:hAnsi="Arial" w:cs="Arial"/>
          <w:sz w:val="18"/>
        </w:rPr>
        <w:t xml:space="preserve"> razão </w:t>
      </w:r>
      <w:r>
        <w:rPr>
          <w:rFonts w:ascii="Arial" w:hAnsi="Arial" w:cs="Arial"/>
          <w:sz w:val="18"/>
        </w:rPr>
        <w:t xml:space="preserve">da capacitação constante da equipe e melhora do manejo do local. </w:t>
      </w:r>
    </w:p>
    <w:p w:rsidR="00AA3880" w:rsidRDefault="00AA3880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A95EDE" w:rsidP="003D6782">
      <w:pPr>
        <w:jc w:val="center"/>
        <w:rPr>
          <w:noProof/>
        </w:rPr>
      </w:pPr>
    </w:p>
    <w:p w:rsidR="00BA59E3" w:rsidRDefault="00A01402" w:rsidP="00A530F9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92297" cy="792000"/>
            <wp:effectExtent l="19050" t="0" r="7803" b="0"/>
            <wp:docPr id="1" name="Imagem 1" descr="C:\Users\Beto\Desktop\Lorena\TRABALHOS 2020\2º SEMESTRE\Colóquio 1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o\Desktop\Lorena\TRABALHOS 2020\2º SEMESTRE\Colóquio 1\Qr 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97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DE" w:rsidRDefault="00997EDE" w:rsidP="00522953">
      <w:r>
        <w:separator/>
      </w:r>
    </w:p>
  </w:endnote>
  <w:endnote w:type="continuationSeparator" w:id="0">
    <w:p w:rsidR="00997EDE" w:rsidRDefault="00997EDE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DE" w:rsidRDefault="00997EDE" w:rsidP="00522953">
      <w:r>
        <w:separator/>
      </w:r>
    </w:p>
  </w:footnote>
  <w:footnote w:type="continuationSeparator" w:id="0">
    <w:p w:rsidR="00997EDE" w:rsidRDefault="00997EDE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6A7E7C" w:rsidRPr="00CB0FB6" w:rsidRDefault="006A7E7C" w:rsidP="00CB0FB6">
    <w:pPr>
      <w:pStyle w:val="Cabealho"/>
      <w:rPr>
        <w:rFonts w:eastAsia="Arial Unicode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17875"/>
    <w:rsid w:val="00040E12"/>
    <w:rsid w:val="00053532"/>
    <w:rsid w:val="00056CCA"/>
    <w:rsid w:val="0007204F"/>
    <w:rsid w:val="00073A0F"/>
    <w:rsid w:val="00095F30"/>
    <w:rsid w:val="000B50B8"/>
    <w:rsid w:val="000C3AD4"/>
    <w:rsid w:val="000D2072"/>
    <w:rsid w:val="00130AD3"/>
    <w:rsid w:val="00134721"/>
    <w:rsid w:val="00175993"/>
    <w:rsid w:val="00193637"/>
    <w:rsid w:val="001A5C84"/>
    <w:rsid w:val="001B7B1C"/>
    <w:rsid w:val="001D1C3F"/>
    <w:rsid w:val="00217DD3"/>
    <w:rsid w:val="00242601"/>
    <w:rsid w:val="0024512E"/>
    <w:rsid w:val="00276B5F"/>
    <w:rsid w:val="00285B52"/>
    <w:rsid w:val="00295A0F"/>
    <w:rsid w:val="002F1618"/>
    <w:rsid w:val="00305F4B"/>
    <w:rsid w:val="003225F8"/>
    <w:rsid w:val="0032700F"/>
    <w:rsid w:val="00343752"/>
    <w:rsid w:val="00381378"/>
    <w:rsid w:val="00384D62"/>
    <w:rsid w:val="003A7150"/>
    <w:rsid w:val="003B32B5"/>
    <w:rsid w:val="003D081F"/>
    <w:rsid w:val="003D6782"/>
    <w:rsid w:val="003F6982"/>
    <w:rsid w:val="00411A99"/>
    <w:rsid w:val="00445F02"/>
    <w:rsid w:val="0045284D"/>
    <w:rsid w:val="004B305A"/>
    <w:rsid w:val="004B7E7D"/>
    <w:rsid w:val="00510BF6"/>
    <w:rsid w:val="00522953"/>
    <w:rsid w:val="005254AE"/>
    <w:rsid w:val="005864D4"/>
    <w:rsid w:val="005A4107"/>
    <w:rsid w:val="005D3FF1"/>
    <w:rsid w:val="00615BEE"/>
    <w:rsid w:val="00616238"/>
    <w:rsid w:val="00626EC3"/>
    <w:rsid w:val="006712EC"/>
    <w:rsid w:val="0067418F"/>
    <w:rsid w:val="0067768B"/>
    <w:rsid w:val="00697AE6"/>
    <w:rsid w:val="006A7E7C"/>
    <w:rsid w:val="006B2D5F"/>
    <w:rsid w:val="006F10D7"/>
    <w:rsid w:val="006F3E34"/>
    <w:rsid w:val="00717CB1"/>
    <w:rsid w:val="00741761"/>
    <w:rsid w:val="007537B7"/>
    <w:rsid w:val="00754A77"/>
    <w:rsid w:val="00775215"/>
    <w:rsid w:val="007A1EE5"/>
    <w:rsid w:val="007A6765"/>
    <w:rsid w:val="007C3386"/>
    <w:rsid w:val="007F4630"/>
    <w:rsid w:val="00801B3C"/>
    <w:rsid w:val="00810291"/>
    <w:rsid w:val="00825A8E"/>
    <w:rsid w:val="00842425"/>
    <w:rsid w:val="008611DE"/>
    <w:rsid w:val="00863A2E"/>
    <w:rsid w:val="008C39C0"/>
    <w:rsid w:val="008C6559"/>
    <w:rsid w:val="008D1111"/>
    <w:rsid w:val="00907773"/>
    <w:rsid w:val="0092704A"/>
    <w:rsid w:val="00934A12"/>
    <w:rsid w:val="00941C22"/>
    <w:rsid w:val="00960BE8"/>
    <w:rsid w:val="00976F74"/>
    <w:rsid w:val="00990C59"/>
    <w:rsid w:val="00997EDE"/>
    <w:rsid w:val="009A083B"/>
    <w:rsid w:val="009B7A81"/>
    <w:rsid w:val="009F0EAB"/>
    <w:rsid w:val="00A01402"/>
    <w:rsid w:val="00A20FF0"/>
    <w:rsid w:val="00A32A85"/>
    <w:rsid w:val="00A530F9"/>
    <w:rsid w:val="00A63DA2"/>
    <w:rsid w:val="00A650D4"/>
    <w:rsid w:val="00A800E4"/>
    <w:rsid w:val="00A95EDE"/>
    <w:rsid w:val="00AA3880"/>
    <w:rsid w:val="00AD610A"/>
    <w:rsid w:val="00AE46AD"/>
    <w:rsid w:val="00B54000"/>
    <w:rsid w:val="00BA59E3"/>
    <w:rsid w:val="00BD0A91"/>
    <w:rsid w:val="00BF19C7"/>
    <w:rsid w:val="00C15B7B"/>
    <w:rsid w:val="00C52E0A"/>
    <w:rsid w:val="00CB0FB6"/>
    <w:rsid w:val="00CD3E24"/>
    <w:rsid w:val="00CD49FD"/>
    <w:rsid w:val="00CF317C"/>
    <w:rsid w:val="00CF54EA"/>
    <w:rsid w:val="00D930D6"/>
    <w:rsid w:val="00DD54A1"/>
    <w:rsid w:val="00DE2605"/>
    <w:rsid w:val="00E019F3"/>
    <w:rsid w:val="00E162EE"/>
    <w:rsid w:val="00E64B67"/>
    <w:rsid w:val="00EB3F8F"/>
    <w:rsid w:val="00EC3C5C"/>
    <w:rsid w:val="00EC4F35"/>
    <w:rsid w:val="00EE1D93"/>
    <w:rsid w:val="00F13307"/>
    <w:rsid w:val="00F2774C"/>
    <w:rsid w:val="00F47AFA"/>
    <w:rsid w:val="00F75B71"/>
    <w:rsid w:val="00F9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2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basedOn w:val="Tabelanormal"/>
    <w:uiPriority w:val="65"/>
    <w:rsid w:val="003A7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-nfase3">
    <w:name w:val="Light Shading Accent 3"/>
    <w:basedOn w:val="Tabelanormal"/>
    <w:uiPriority w:val="60"/>
    <w:rsid w:val="003A71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3A71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D53B-81FD-42D7-8F1B-DD88B5E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628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Beto</cp:lastModifiedBy>
  <cp:revision>23</cp:revision>
  <cp:lastPrinted>2020-09-26T20:53:00Z</cp:lastPrinted>
  <dcterms:created xsi:type="dcterms:W3CDTF">2020-08-27T13:25:00Z</dcterms:created>
  <dcterms:modified xsi:type="dcterms:W3CDTF">2020-09-27T10:44:00Z</dcterms:modified>
</cp:coreProperties>
</file>