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9DFF0" w14:textId="77777777" w:rsidR="00071F19" w:rsidRDefault="00071F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A0CC02" w14:textId="77777777" w:rsidR="00071F19" w:rsidRDefault="003D1F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CONTROLE DE CONVENCIONALIDADE POR AGENTES ESTATAIS NÃO JURISDICIONAIS: ANÁLISE DO CASO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FERNÁNDEZ PRIETO Y TUMBEIRO VS. ARGENTINA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JULGADO PELA CORTE IDH</w:t>
      </w:r>
    </w:p>
    <w:p w14:paraId="6EBF500D" w14:textId="77777777" w:rsidR="00071F19" w:rsidRDefault="00071F19">
      <w:pPr>
        <w:spacing w:line="360" w:lineRule="auto"/>
      </w:pPr>
    </w:p>
    <w:p w14:paraId="06D931FE" w14:textId="4A599797" w:rsidR="00071F19" w:rsidRDefault="00071F19" w:rsidP="00326A6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5F7EB1" w14:textId="77777777" w:rsidR="00071F19" w:rsidRDefault="00071F19">
      <w:pPr>
        <w:spacing w:line="360" w:lineRule="auto"/>
      </w:pPr>
    </w:p>
    <w:p w14:paraId="4B8C2697" w14:textId="77777777" w:rsidR="00071F19" w:rsidRDefault="003D1F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PALAVRAS-CHAVES: </w:t>
      </w:r>
      <w:r>
        <w:rPr>
          <w:rFonts w:ascii="Times New Roman" w:eastAsia="Times New Roman" w:hAnsi="Times New Roman" w:cs="Times New Roman"/>
          <w:sz w:val="24"/>
          <w:szCs w:val="24"/>
        </w:rPr>
        <w:t>Agentes não jurisdicionais, controle de convencionalidade, direitos humanos.</w:t>
      </w:r>
    </w:p>
    <w:p w14:paraId="5AB143F9" w14:textId="77777777" w:rsidR="00071F19" w:rsidRDefault="00071F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898E7B" w14:textId="77777777" w:rsidR="00071F19" w:rsidRDefault="003D1F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denominada Sociedade Internacional, é composta por Estados que, através de foros democráticos, dialogam entre si e entre Organizações Internacionais. Todas essas relações são intensificadas pela globalização que induz a um processo de alocação e formação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uma nova realidade social, cujo foro de debates passa a ser no seio dos organismos globais, nos quais os temas mais recorrentes são os relacionados à própria condição e ao desenvolvimento da humanidade (MENEZES, 2005).</w:t>
      </w:r>
    </w:p>
    <w:p w14:paraId="012BFB86" w14:textId="77777777" w:rsidR="00071F19" w:rsidRDefault="003D1F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Nesse âmbito, o Sistema Interamer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icano de Direitos Humanos (SIDH) reconhece e define os direitos humanos por ele protegidos, estabelece as obrigações para sua promoção e garantia e cria os órgãos competentes pela proteção de tais obrigações (QUIROGA; ROJAS, 2007). A Convenção Americana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Direitos Humanos (CADH) é a principal base normativa do SIDH para aqueles Estados que a ratificaram e estabelece as obrigações gerais para os Estados a respeito dos direitos reconhecidos na CADH, um catálogo de garantias, direitos civis e políticos, norma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de interpretação, mecanismos e órgãos de supervisão do cumprimento das obrigações ali consagradas, entre outros (LEDESMA, 2004). </w:t>
      </w:r>
    </w:p>
    <w:p w14:paraId="0F5CFA4E" w14:textId="77777777" w:rsidR="00071F19" w:rsidRDefault="003D1F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 disposições iniciais da CADH, previstas nos artigos 1º e 2º, consagram a obrigação dos Estados respeitar e garantir os 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reitos nela assegurados e o dever de adotar medidas de direito interno. Se por um lado, a obrigação de respeitar os direitos trata de uma obrigação negativa, de abstenção do Estado; a obrigação de garantir, trata de obrigação positiva,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determinando que o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stado tome as medidas necessárias para assegurar que as pessoas tenham condições de exercer e gozar dos direitos assegurados na CADH (QUIROGA, 2003). Dessa forma, a tolerância ou inércia estatal a circunstâncias ou condições que impeçam que os indivíduos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esfrutem dos direitos humanos assegurados, viola a CADH.</w:t>
      </w:r>
    </w:p>
    <w:p w14:paraId="7CFB45C5" w14:textId="77777777" w:rsidR="00071F19" w:rsidRDefault="003D1F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outras palavras, além de criar a obrigação para o Estado de criar normas internas que possibilitem a adequação de seu ordenamento, seja alterando ou criando novas normas, também estabelece a obrig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ação negativa de não aplicar norma interna que contrarie algum dispositivo ou interpretação da CADH. Assim, uma vez que o Estado ratificou a CADH, deve empreender todas as ações positivas necessárias para possibilitar que as pessoas sujeitas a sua jurisdiç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ão possam exercer e gozar de seus direitos humanos, conformando seu ordenamento interno. Portanto, o Estado fica obrigado a adequar a normatividade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inconvencional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existente no seu ordenamento (QUIROGA, 2003).</w:t>
      </w:r>
    </w:p>
    <w:p w14:paraId="4EB08E30" w14:textId="77777777" w:rsidR="00071F19" w:rsidRDefault="003D1F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Quando uma norma é incompatível com a CADH, afa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stá-la através do controle de convencionalidade é fazer efetivo os direitos nela assegurados. O controle de convencionalidade consiste na compatibilidade dos atos internos (comissivos ou omissivos) em relação </w:t>
      </w:r>
      <w:r>
        <w:rPr>
          <w:rFonts w:ascii="Times New Roman" w:eastAsia="Times New Roman" w:hAnsi="Times New Roman" w:cs="Times New Roman"/>
          <w:sz w:val="24"/>
          <w:szCs w:val="24"/>
        </w:rPr>
        <w:t>aos compromissos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internacionais assumid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(RAMO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S, 2020). De acordo com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Cançado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Trindade, as ações ou omissões podem ser de qualquer poder, órgão ou agente do Estado, ou mesmo proveniente de leis nacionais e sentenças de tribunais (TRINDADE, 2003). Logo, é de extrema importância o estudo sobre o control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de convencionalidade, haja vista que a aplicação de normas do ordenamento jurídico interno contrárias à CADH pode ensejar a responsabilização internacional do Estado. </w:t>
      </w:r>
    </w:p>
    <w:p w14:paraId="664BB428" w14:textId="77777777" w:rsidR="00071F19" w:rsidRDefault="003D1F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Corte </w:t>
      </w:r>
      <w:r>
        <w:rPr>
          <w:rFonts w:ascii="Times New Roman" w:eastAsia="Times New Roman" w:hAnsi="Times New Roman" w:cs="Times New Roman"/>
          <w:sz w:val="24"/>
          <w:szCs w:val="24"/>
        </w:rPr>
        <w:t>Interamericana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Direitos Humanos (Corte IDH), órgão judicial do SIDH para aqueles Estados Partes que tenham ratificado a CADH e aceitado sua </w:t>
      </w:r>
      <w:r>
        <w:rPr>
          <w:rFonts w:ascii="Times New Roman" w:eastAsia="Times New Roman" w:hAnsi="Times New Roman" w:cs="Times New Roman"/>
          <w:sz w:val="24"/>
          <w:szCs w:val="24"/>
        </w:rPr>
        <w:t>competência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contenciosa, demonstrou a preocupação sobre a adequação do direito interno ao convencional nos casos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Olmedo Bustos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e outros (“A última tentação de Cristo”) Vs. Chile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(2001) e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Myrna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Mack Chang Vs. Guatemala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(2003). Contudo, o julgamento paradigma é o caso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Almonacid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Arellano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Vs. Chile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(2006), quando a Corte IDH se referiu, pela primeira vez, ao controle de convencionalid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ade.</w:t>
      </w:r>
    </w:p>
    <w:p w14:paraId="014B51E1" w14:textId="77777777" w:rsidR="00071F19" w:rsidRDefault="003D1F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 xml:space="preserve">No julgado de 2006, a Corte IDH asseverou que o controle de convencionalidade deve ser realizado não somente em relação ao texto da CADH, como também em relação a interpretação realizada pela Corte IDH, no exercício de sua competência contenciosa 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consultiva. Ademais, a Corte IDH salientou que ao ratificar a CADH, os juízes nacionais também ficam a ela submetidos, cabendo-lhes a obrigação de zelar para que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aplicação das leis internas não sejam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contrárias ao seu objeto e fim.</w:t>
      </w:r>
    </w:p>
    <w:p w14:paraId="4190D511" w14:textId="77777777" w:rsidR="00071F19" w:rsidRDefault="003D1F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Tem-se que essa expans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ão deu-se pela interpretação do artigo 69 da CADH, objetivando o fortalecimento dos Estados no cumprimento das obrigações internacionais que assumiram voluntariamente; a efetividade dos tratados, que não podem ser limitados pelas normas domésticas; e, a 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possibilidade de omitir-se do cumprimento de normas internacionais, sob fundamento de aplicação do direito interno, consoante dita o artigo 27 da Convenção de Viena sobre o Direito dos Tratados de 1969 (SÁGUES, 2012).</w:t>
      </w:r>
    </w:p>
    <w:p w14:paraId="6C4ACD15" w14:textId="77777777" w:rsidR="00071F19" w:rsidRDefault="003D1F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Não obstante, a vinculação </w:t>
      </w:r>
      <w:r>
        <w:rPr>
          <w:rFonts w:ascii="Times New Roman" w:eastAsia="Times New Roman" w:hAnsi="Times New Roman" w:cs="Times New Roman"/>
          <w:sz w:val="24"/>
          <w:szCs w:val="24"/>
        </w:rPr>
        <w:t>ao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exame 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convencionalidade não está presente apenas pelos detentores de competência jurisdicional, mas para todos aqueles envolvidos em determinada situação de interação entre as autoridades e os indivíduos. Foi o que entendeu a Corte IDH no julgamento do caso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Gel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Vs.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Uruguay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(2011) ao cravar que exercer um controle de convencionalidade é função e tarefa de qualquer autoridade pública, e não somente de Poder Judicial. Ou seja, no exercício das atribuições funcionais dos agentes estatais, estes, ainda que não pos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suam competência jurisdicional, devem observar a convencionalidade das suas condutas, nos padrões do</w:t>
      </w:r>
      <w:r>
        <w:rPr>
          <w:rFonts w:ascii="Times New Roman" w:eastAsia="Times New Roman" w:hAnsi="Times New Roman" w:cs="Times New Roman"/>
          <w:sz w:val="24"/>
          <w:szCs w:val="24"/>
        </w:rPr>
        <w:t>s tratados internacionais ratificados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CAA971E" w14:textId="77777777" w:rsidR="00071F19" w:rsidRDefault="003D1F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É nesse viés que o presente estudo se alicerça. Para tanto, dividiu-se a investigação nos seguintes momentos: primeiro, observa-se a expansão da doutrina do fenômeno do controle de convencionalidade pela Corte IDH; segundo, analisa-se a sentença do caso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ernández Prieto y Tumbeiro Vs. Argentina,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julgado pela Corte IDH, em 2020, na qual estabelece que a abordagem policial sem motivação adequada é inconvencional e viola direitos humanos; e, por fim, se demonstra a necessidade da efetivação de um controle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convencionalidade para além da prática dos Tribunais internos, sobretudo, nas ações realizadas pelos agentes estatais, a fim de assegurar a proteção dos direitos humanos. O presente estudo é pautado em pesquisa bibliográfica e documental. Para a fomentação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interpretação dos dados será utilizado 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método dedutivo, partindo do pressuposto que a conduta dos agentes estatais, se não observado os parâmetros ditados pela CADH e pela interpretação da Corte IDH, podem acarretar uma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inconvencionalidade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conduta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 consequentemente, a responsabilidade internacional do Estado.</w:t>
      </w:r>
    </w:p>
    <w:p w14:paraId="07741060" w14:textId="77777777" w:rsidR="00071F19" w:rsidRDefault="003D1F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caso Argentino se refere às detenções ilegais e arbitrárias em prejuízo de Carlos Alberto Fernández Prieto, em maio de 1992, por parte de agentes da Polícia de Buenos Aires, e de Carlos 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jandro Tumbeiro, em janeiro de 1998, por agentes da Polícia Federal Argentina. Ambas detenções se deram sem ordem judicial ou situação de flagrante, e sob fundamentos discriminatórios, inexistindo qualquer elemento objetivo indicando uma suspeita razoável.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Nesse sentido, a Corte IDH identificou uma prática sistemática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inconvencionalidade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 parte de autoridades policiais na Argentina. </w:t>
      </w:r>
    </w:p>
    <w:p w14:paraId="0AA4E861" w14:textId="77777777" w:rsidR="00071F19" w:rsidRDefault="003D1F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a Corte IDH, a privação das vítimas foi ilegal e contrária à CADH, pois a atuação dos agentes não observou os reg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ulamentos internos, tampouco o conteúdo do art. 7.2 da CADH. O Tribunal, ainda, foi firme em declarar que uma atuação originalmente inconvencional não pode resultar em formulação válida de imputação penal sob o argumento dos resultados obtidos.  Em sede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reparação, a Corte IDH ditou que as autoridades internas estão obrigadas a realizar um controle de convencionalidade na criação e aplicação de normas que autorizem a polícia a realizar detenções sem ordem judicial, levando em conta a CADH e a interpretaçã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realizada pela Corte IDH em casos de privação de liberdade. Ademais, solicitou ao Estado a adoção, de forma permanente, de medidas de capacitação aos agentes policiais baseados nos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estandares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SIDH, a fim de evitar abusos nas faculdades de detenção. </w:t>
      </w:r>
    </w:p>
    <w:p w14:paraId="737378DF" w14:textId="77777777" w:rsidR="00071F19" w:rsidRDefault="003D1F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vvfcoqovbg14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utrossim, a vasta jurisprudência da Corte IDH, reafirma-se com o posicionamento de que a obrigação do exercício de controle de convencionalidade deve, sobretudo, englobar agentes estatais não jurisdicionais. Sendo necessário, em âmbito doméstico, a impleme</w:t>
      </w:r>
      <w:r>
        <w:rPr>
          <w:rFonts w:ascii="Times New Roman" w:eastAsia="Times New Roman" w:hAnsi="Times New Roman" w:cs="Times New Roman"/>
          <w:sz w:val="24"/>
          <w:szCs w:val="24"/>
        </w:rPr>
        <w:t>ntação de políticas públicas para a efetivação deste exercício fiscalizador, para que as ações dos agentes estatais possam alinhar-se à proteção dos direitos humanos.</w:t>
      </w:r>
    </w:p>
    <w:p w14:paraId="2FF10696" w14:textId="77777777" w:rsidR="00071F19" w:rsidRDefault="00071F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h2wgvqepm30i" w:colFirst="0" w:colLast="0"/>
      <w:bookmarkEnd w:id="2"/>
    </w:p>
    <w:p w14:paraId="4C9680D5" w14:textId="77777777" w:rsidR="00071F19" w:rsidRDefault="003D1F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eading=h.ew5dhgvsomh1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 BIBLIOGRÁFICA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</w:t>
      </w:r>
    </w:p>
    <w:p w14:paraId="44D94B23" w14:textId="77777777" w:rsidR="00071F19" w:rsidRDefault="003D1F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CORTE IDH, Corte Interamericana de Direitos Humanos.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Caso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onacid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Arellano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otros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Vs. Chile.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Sentença de 26 de setembro de 2006. Disponível em: </w:t>
      </w:r>
      <w:hyperlink r:id="rId7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 xml:space="preserve">https://www.cnj.jus.br/wp </w:t>
        </w:r>
        <w:proofErr w:type="spellStart"/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content</w:t>
        </w:r>
        <w:proofErr w:type="spellEnd"/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/uploads/2016/04/7172fb59c130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058bc5a96931e41d04e2.pdf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Acesso em: 02 nov. 2020.</w:t>
      </w:r>
    </w:p>
    <w:p w14:paraId="5F245CCC" w14:textId="77777777" w:rsidR="00071F19" w:rsidRDefault="00071F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08EB35" w14:textId="77777777" w:rsidR="00071F19" w:rsidRDefault="003D1F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CORTE IDH, Corte Interamericana de Direitos Humanos.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Caso Fernández Prieto y Tumbeiro Vs. Argentina.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Sentença de 01 de setembro de 2020. Disponível em: https://www.corteidh.or.cr/docs/casos/articulos/seriec_411_esp.pdf. Acesso em: 02 nov. 2020.</w:t>
      </w:r>
    </w:p>
    <w:p w14:paraId="1E3415B7" w14:textId="77777777" w:rsidR="00071F19" w:rsidRDefault="00071F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31CF91" w14:textId="77777777" w:rsidR="00071F19" w:rsidRDefault="003D1F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CORTE IDH, Corte Interamericana de Direitos Humanos.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Caso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Gelman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Vs.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Uruguay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Sentença de 24 de fevereiro de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Disponível em: https://www.corteidh.or.cr/CF/jurisprudencia2/ficha_tecnica.cfm?nId_Ficha=345. Acesso em: 11 nov. 2020.</w:t>
      </w:r>
    </w:p>
    <w:p w14:paraId="44F4CF75" w14:textId="77777777" w:rsidR="00071F19" w:rsidRDefault="00071F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C796EA" w14:textId="77777777" w:rsidR="00071F19" w:rsidRDefault="003D1F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CORTE IDH, Corte Interamericana de Direitos Humanos.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Caso Gomes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Lund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otros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(“Guerrilha do Araguaia”) Vs. Brasil.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Sentença de 24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novembro de 2010. Disponível em: https://www.corteidh.or.cr/docs/casos/articulos/seriec_219_por.pdf. Acesso em: 02 nov. 2020.</w:t>
      </w:r>
    </w:p>
    <w:p w14:paraId="49F57FED" w14:textId="77777777" w:rsidR="00071F19" w:rsidRDefault="00071F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3976BF" w14:textId="77777777" w:rsidR="00071F19" w:rsidRDefault="003D1F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CORTE IDH, Corte Interamericana de Direitos Humanos.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Caso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Myrna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Mack Chang Vs. Guatemala.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Sentença de 25 de novembro de 2003. 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sponível em: https://www.corteidh.or.cr/docs/casos/articulos/seriec_101_ing.pdf. Acesso em: 02 nov. 2020.</w:t>
      </w:r>
    </w:p>
    <w:p w14:paraId="398D5A73" w14:textId="77777777" w:rsidR="00071F19" w:rsidRDefault="00071F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D3B82D" w14:textId="77777777" w:rsidR="00071F19" w:rsidRDefault="003D1F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CORTE IDH, Corte Interamericana de Direitos Humanos.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Caso Olmedo Bustos y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otros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(“A última tentação de Cristo”) Vs. Chile.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Sentença de 05 de fevereir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de 2001. Disponível em: http://www.corteidh.or.cr/docs/casos/articulos/seriec_73_por.doc. Acesso em: 02 nov. 2020.</w:t>
      </w:r>
    </w:p>
    <w:p w14:paraId="1B4DA4B7" w14:textId="77777777" w:rsidR="00071F19" w:rsidRDefault="00071F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B4B875" w14:textId="77777777" w:rsidR="00071F19" w:rsidRDefault="003D1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LEDESMA, Hector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Faúndez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El Sistema Interamericano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Protección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los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Derechos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Humanos: aspectos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institucionales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procesales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San José: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Instututo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Interamericano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Derechos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Humanos, 2004.</w:t>
      </w:r>
    </w:p>
    <w:p w14:paraId="0C1507EB" w14:textId="77777777" w:rsidR="00071F19" w:rsidRDefault="00071F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DD8AAE" w14:textId="77777777" w:rsidR="00071F19" w:rsidRDefault="003D1F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MENEZES, Wagner. Ordem global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Transnormatividade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Ijuí: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Editora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Unijuí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2005.</w:t>
      </w:r>
    </w:p>
    <w:p w14:paraId="571DF38D" w14:textId="77777777" w:rsidR="00071F19" w:rsidRDefault="00071F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1546DC" w14:textId="77777777" w:rsidR="00071F19" w:rsidRDefault="003D1F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OEA, Organização dos Estados Americanos.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Convenção Americana de Direitos Humanos.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São José: Conferência Especializada Int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eramericana sobre Direitos Humanos, 1969. Disponível em: &lt; https://www.cidh.oas.org/basicos/portugues/c.convencao_americana.htm&gt;. Acesso em: 02 nov. 2020.</w:t>
      </w:r>
    </w:p>
    <w:p w14:paraId="524C2935" w14:textId="77777777" w:rsidR="00071F19" w:rsidRDefault="00071F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D5B470" w14:textId="77777777" w:rsidR="00071F19" w:rsidRDefault="003D1F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RAMOS, André de Carvalho.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Curso de direitos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humanos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São Paulo: Saraiva, 2020.</w:t>
      </w:r>
    </w:p>
    <w:p w14:paraId="777812E3" w14:textId="77777777" w:rsidR="00071F19" w:rsidRDefault="00071F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798560" w14:textId="77777777" w:rsidR="00071F19" w:rsidRDefault="003D1F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SÁGUES, Nestor Pedro. El “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convencionalidad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sistema interamericano, y sus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anticipos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ámbito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derechos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econômico-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sociales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Concordancias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diferencias com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sistema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europeo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Instituto de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Investigaci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ones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Jurídicas de La UNAM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2012.</w:t>
      </w:r>
    </w:p>
    <w:p w14:paraId="54FE97E7" w14:textId="77777777" w:rsidR="00071F19" w:rsidRDefault="00071F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166590" w14:textId="77777777" w:rsidR="00071F19" w:rsidRDefault="003D1F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TRINDADE, Antônio Augusto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Cançado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Tratado de Direito Internacional dos Direitos Humanos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Porto Alegre: Sergio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Antonio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Fabris Editor, v. III, 2003.</w:t>
      </w:r>
    </w:p>
    <w:p w14:paraId="64432DB0" w14:textId="77777777" w:rsidR="00071F19" w:rsidRDefault="00071F19">
      <w:pPr>
        <w:widowControl w:val="0"/>
        <w:spacing w:line="240" w:lineRule="auto"/>
        <w:ind w:right="-3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71F1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C3FC7" w14:textId="77777777" w:rsidR="003D1F72" w:rsidRDefault="003D1F72">
      <w:pPr>
        <w:spacing w:after="0" w:line="240" w:lineRule="auto"/>
      </w:pPr>
      <w:r>
        <w:separator/>
      </w:r>
    </w:p>
  </w:endnote>
  <w:endnote w:type="continuationSeparator" w:id="0">
    <w:p w14:paraId="74813419" w14:textId="77777777" w:rsidR="003D1F72" w:rsidRDefault="003D1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02E07" w14:textId="77777777" w:rsidR="00071F19" w:rsidRDefault="00071F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91E1C" w14:textId="77777777" w:rsidR="003D1F72" w:rsidRDefault="003D1F72">
      <w:pPr>
        <w:spacing w:after="0" w:line="240" w:lineRule="auto"/>
      </w:pPr>
      <w:r>
        <w:separator/>
      </w:r>
    </w:p>
  </w:footnote>
  <w:footnote w:type="continuationSeparator" w:id="0">
    <w:p w14:paraId="58524AA3" w14:textId="77777777" w:rsidR="003D1F72" w:rsidRDefault="003D1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0B7A0" w14:textId="77777777" w:rsidR="00071F19" w:rsidRDefault="003D1F7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>‘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0ECA8BCD" wp14:editId="0B61E0C3">
          <wp:simplePos x="0" y="0"/>
          <wp:positionH relativeFrom="column">
            <wp:posOffset>-914398</wp:posOffset>
          </wp:positionH>
          <wp:positionV relativeFrom="paragraph">
            <wp:posOffset>-451483</wp:posOffset>
          </wp:positionV>
          <wp:extent cx="7568957" cy="1271216"/>
          <wp:effectExtent l="0" t="0" r="0" b="0"/>
          <wp:wrapSquare wrapText="bothSides" distT="0" distB="0" distL="0" distR="0"/>
          <wp:docPr id="3" name="image1.jpg" descr="Uma imagem contendo 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ma imagem contendo Texto&#10;&#10;Descrição gerada automaticamente"/>
                  <pic:cNvPicPr preferRelativeResize="0"/>
                </pic:nvPicPr>
                <pic:blipFill>
                  <a:blip r:embed="rId1"/>
                  <a:srcRect b="88134"/>
                  <a:stretch>
                    <a:fillRect/>
                  </a:stretch>
                </pic:blipFill>
                <pic:spPr>
                  <a:xfrm>
                    <a:off x="0" y="0"/>
                    <a:ext cx="7568957" cy="12712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88144ED" w14:textId="77777777" w:rsidR="00071F19" w:rsidRDefault="00071F1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623DFCBB" w14:textId="77777777" w:rsidR="00071F19" w:rsidRDefault="00071F1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7F157A74" w14:textId="77777777" w:rsidR="00071F19" w:rsidRDefault="00071F1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7607C340" w14:textId="77777777" w:rsidR="00071F19" w:rsidRDefault="00071F1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F19"/>
    <w:rsid w:val="00071F19"/>
    <w:rsid w:val="00326A63"/>
    <w:rsid w:val="003D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3AB72"/>
  <w15:docId w15:val="{160BE3C9-C665-4713-82FC-9733AE4C4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46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6E7E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46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6E7E"/>
  </w:style>
  <w:style w:type="paragraph" w:styleId="Rodap">
    <w:name w:val="footer"/>
    <w:basedOn w:val="Normal"/>
    <w:link w:val="RodapChar"/>
    <w:uiPriority w:val="99"/>
    <w:unhideWhenUsed/>
    <w:rsid w:val="00646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6E7E"/>
  </w:style>
  <w:style w:type="character" w:styleId="Refdecomentrio">
    <w:name w:val="annotation reference"/>
    <w:basedOn w:val="Fontepargpadro"/>
    <w:uiPriority w:val="99"/>
    <w:semiHidden/>
    <w:unhideWhenUsed/>
    <w:rsid w:val="0084416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4416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4416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4416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44166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14A86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14A8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32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3292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3292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32928"/>
    <w:rPr>
      <w:vertAlign w:val="superscript"/>
    </w:rPr>
  </w:style>
  <w:style w:type="paragraph" w:customStyle="1" w:styleId="CorpodoTexto">
    <w:name w:val="Corpo do Texto"/>
    <w:basedOn w:val="Normal"/>
    <w:qFormat/>
    <w:rsid w:val="00632928"/>
    <w:pPr>
      <w:spacing w:after="0" w:line="360" w:lineRule="auto"/>
      <w:ind w:firstLine="709"/>
      <w:jc w:val="both"/>
    </w:pPr>
    <w:rPr>
      <w:rFonts w:ascii="Arial" w:eastAsia="Arial Unicode MS" w:hAnsi="Arial" w:cs="Times New Roman"/>
      <w:sz w:val="24"/>
    </w:rPr>
  </w:style>
  <w:style w:type="paragraph" w:customStyle="1" w:styleId="NotadeRodap">
    <w:name w:val="Nota de Rodapé"/>
    <w:basedOn w:val="Textodenotaderodap"/>
    <w:autoRedefine/>
    <w:qFormat/>
    <w:rsid w:val="00632928"/>
    <w:pPr>
      <w:spacing w:after="120"/>
      <w:ind w:left="284" w:hanging="284"/>
    </w:pPr>
    <w:rPr>
      <w:rFonts w:ascii="Arial" w:eastAsia="Arial Unicode MS" w:hAnsi="Arial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nj.jus.br/wp%20content/uploads/2016/04/7172fb59c130058bc5a96931e41d04e2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SswzTUXROU7BqQ/PNn0HqWdmsA==">AMUW2mWZXSGa+8Zq1JAa1o4wVnC4Mx44wwo+Ub5DQhMpc4TUx0jtLQIDe1FxrDAojogJubYLj6Te1N7dFC9Z3d8vv65WkryVzWhvRrZ5etr+SCyT1mSWQ6nxGDc0tRRmv9cEgaTsCEFBYI7pfkAMzMcFMImnmXH92cinUUQma8JW2Kjb0K1dBdhxY0jnfLCf2ztlVn63zR9Y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1775</Words>
  <Characters>9591</Characters>
  <Application>Microsoft Office Word</Application>
  <DocSecurity>0</DocSecurity>
  <Lines>79</Lines>
  <Paragraphs>22</Paragraphs>
  <ScaleCrop>false</ScaleCrop>
  <Company/>
  <LinksUpToDate>false</LinksUpToDate>
  <CharactersWithSpaces>11344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Andrade de Azambuja</dc:creator>
  <cp:lastModifiedBy>angélica santos</cp:lastModifiedBy>
  <cp:revision>2</cp:revision>
  <dcterms:created xsi:type="dcterms:W3CDTF">2020-11-17T03:32:00Z</dcterms:created>
  <dcterms:modified xsi:type="dcterms:W3CDTF">2020-11-17T03:32:00Z</dcterms:modified>
</cp:coreProperties>
</file>