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160" w:lineRule="auto"/>
        <w:jc w:val="center"/>
        <w:rPr>
          <w:rFonts w:ascii="Arial" w:cs="Arial" w:eastAsia="Arial" w:hAnsi="Arial"/>
          <w:sz w:val="28"/>
          <w:szCs w:val="28"/>
          <w:vertAlign w:val="superscript"/>
        </w:rPr>
      </w:pPr>
      <w:r w:rsidDel="00000000" w:rsidR="00000000" w:rsidRPr="00000000">
        <w:rPr>
          <w:rFonts w:ascii="Arial" w:cs="Arial" w:eastAsia="Arial" w:hAnsi="Arial"/>
          <w:b w:val="1"/>
          <w:sz w:val="28"/>
          <w:szCs w:val="28"/>
          <w:rtl w:val="0"/>
        </w:rPr>
        <w:t xml:space="preserve">DESAFIO CLÍNICO NO RETRATAMENTO ENDODÔNTICO POR EXPOSIÇÃO DE GUTA-PERCHA EM PACIENTE COM CONDIÇÃO SISTÊMICA CONTROLADA</w:t>
      </w:r>
      <w:r w:rsidDel="00000000" w:rsidR="00000000" w:rsidRPr="00000000">
        <w:rPr>
          <w:rFonts w:ascii="Arial" w:cs="Arial" w:eastAsia="Arial" w:hAnsi="Arial"/>
          <w:b w:val="1"/>
          <w:sz w:val="22"/>
          <w:szCs w:val="22"/>
          <w:vertAlign w:val="superscript"/>
          <w:rtl w:val="0"/>
        </w:rPr>
        <w:t xml:space="preserve">1</w:t>
      </w:r>
      <w:r w:rsidDel="00000000" w:rsidR="00000000" w:rsidRPr="00000000">
        <w:rPr>
          <w:rtl w:val="0"/>
        </w:rPr>
      </w:r>
    </w:p>
    <w:p w:rsidR="00000000" w:rsidDel="00000000" w:rsidP="00000000" w:rsidRDefault="00000000" w:rsidRPr="00000000" w14:paraId="00000003">
      <w:pPr>
        <w:rPr>
          <w:vertAlign w:val="superscript"/>
        </w:rPr>
      </w:pPr>
      <w:r w:rsidDel="00000000" w:rsidR="00000000" w:rsidRPr="00000000">
        <w:rPr>
          <w:rtl w:val="0"/>
        </w:rPr>
      </w:r>
    </w:p>
    <w:p w:rsidR="00000000" w:rsidDel="00000000" w:rsidP="00000000" w:rsidRDefault="00000000" w:rsidRPr="00000000" w14:paraId="00000004">
      <w:pPr>
        <w:spacing w:after="160" w:lineRule="auto"/>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Marília Cruz Lima FEITOSA</w:t>
      </w:r>
      <w:r w:rsidDel="00000000" w:rsidR="00000000" w:rsidRPr="00000000">
        <w:rPr>
          <w:rFonts w:ascii="Arial" w:cs="Arial" w:eastAsia="Arial" w:hAnsi="Arial"/>
          <w:b w:val="1"/>
          <w:sz w:val="22"/>
          <w:szCs w:val="22"/>
          <w:vertAlign w:val="superscript"/>
          <w:rtl w:val="0"/>
        </w:rPr>
        <w:t xml:space="preserve">2</w:t>
      </w:r>
      <w:r w:rsidDel="00000000" w:rsidR="00000000" w:rsidRPr="00000000">
        <w:rPr>
          <w:rtl w:val="0"/>
        </w:rPr>
      </w:r>
    </w:p>
    <w:p w:rsidR="00000000" w:rsidDel="00000000" w:rsidP="00000000" w:rsidRDefault="00000000" w:rsidRPr="00000000" w14:paraId="00000005">
      <w:pPr>
        <w:spacing w:after="160" w:lineRule="auto"/>
        <w:jc w:val="right"/>
        <w:rPr>
          <w:rFonts w:ascii="Arial" w:cs="Arial" w:eastAsia="Arial" w:hAnsi="Arial"/>
          <w:b w:val="1"/>
          <w:sz w:val="22"/>
          <w:szCs w:val="22"/>
          <w:vertAlign w:val="superscript"/>
        </w:rPr>
      </w:pPr>
      <w:r w:rsidDel="00000000" w:rsidR="00000000" w:rsidRPr="00000000">
        <w:rPr>
          <w:rFonts w:ascii="Arial" w:cs="Arial" w:eastAsia="Arial" w:hAnsi="Arial"/>
          <w:b w:val="1"/>
          <w:sz w:val="22"/>
          <w:szCs w:val="22"/>
          <w:rtl w:val="0"/>
        </w:rPr>
        <w:t xml:space="preserve">Flávio Cosme Santos da SILVA</w:t>
      </w:r>
      <w:r w:rsidDel="00000000" w:rsidR="00000000" w:rsidRPr="00000000">
        <w:rPr>
          <w:rFonts w:ascii="Arial" w:cs="Arial" w:eastAsia="Arial" w:hAnsi="Arial"/>
          <w:b w:val="1"/>
          <w:sz w:val="22"/>
          <w:szCs w:val="22"/>
          <w:vertAlign w:val="superscript"/>
          <w:rtl w:val="0"/>
        </w:rPr>
        <w:t xml:space="preserve">3</w:t>
      </w:r>
    </w:p>
    <w:p w:rsidR="00000000" w:rsidDel="00000000" w:rsidP="00000000" w:rsidRDefault="00000000" w:rsidRPr="00000000" w14:paraId="00000006">
      <w:pPr>
        <w:spacing w:after="160" w:lineRule="auto"/>
        <w:jc w:val="right"/>
        <w:rPr>
          <w:rFonts w:ascii="Arial" w:cs="Arial" w:eastAsia="Arial" w:hAnsi="Arial"/>
          <w:b w:val="1"/>
          <w:sz w:val="22"/>
          <w:szCs w:val="22"/>
          <w:vertAlign w:val="superscript"/>
        </w:rPr>
      </w:pPr>
      <w:r w:rsidDel="00000000" w:rsidR="00000000" w:rsidRPr="00000000">
        <w:rPr>
          <w:rFonts w:ascii="Arial" w:cs="Arial" w:eastAsia="Arial" w:hAnsi="Arial"/>
          <w:b w:val="1"/>
          <w:sz w:val="22"/>
          <w:szCs w:val="22"/>
          <w:rtl w:val="0"/>
        </w:rPr>
        <w:t xml:space="preserve">Francisca Santos da SILVA</w:t>
      </w:r>
      <w:r w:rsidDel="00000000" w:rsidR="00000000" w:rsidRPr="00000000">
        <w:rPr>
          <w:rFonts w:ascii="Arial" w:cs="Arial" w:eastAsia="Arial" w:hAnsi="Arial"/>
          <w:b w:val="1"/>
          <w:sz w:val="22"/>
          <w:szCs w:val="22"/>
          <w:vertAlign w:val="superscript"/>
          <w:rtl w:val="0"/>
        </w:rPr>
        <w:t xml:space="preserve">4</w:t>
      </w:r>
    </w:p>
    <w:p w:rsidR="00000000" w:rsidDel="00000000" w:rsidP="00000000" w:rsidRDefault="00000000" w:rsidRPr="00000000" w14:paraId="00000007">
      <w:pPr>
        <w:spacing w:after="160" w:lineRule="auto"/>
        <w:jc w:val="right"/>
        <w:rPr>
          <w:rFonts w:ascii="Arial" w:cs="Arial" w:eastAsia="Arial" w:hAnsi="Arial"/>
          <w:b w:val="1"/>
          <w:sz w:val="22"/>
          <w:szCs w:val="22"/>
          <w:vertAlign w:val="superscript"/>
        </w:rPr>
      </w:pPr>
      <w:r w:rsidDel="00000000" w:rsidR="00000000" w:rsidRPr="00000000">
        <w:rPr>
          <w:rFonts w:ascii="Arial" w:cs="Arial" w:eastAsia="Arial" w:hAnsi="Arial"/>
          <w:b w:val="1"/>
          <w:sz w:val="22"/>
          <w:szCs w:val="22"/>
          <w:rtl w:val="0"/>
        </w:rPr>
        <w:t xml:space="preserve">Giovanna Isabelle Campelo de </w:t>
      </w:r>
      <w:r w:rsidDel="00000000" w:rsidR="00000000" w:rsidRPr="00000000">
        <w:rPr>
          <w:rFonts w:ascii="Arial" w:cs="Arial" w:eastAsia="Arial" w:hAnsi="Arial"/>
          <w:b w:val="1"/>
          <w:sz w:val="22"/>
          <w:szCs w:val="22"/>
          <w:rtl w:val="0"/>
        </w:rPr>
        <w:t xml:space="preserve">HOLANDA</w:t>
      </w:r>
      <w:r w:rsidDel="00000000" w:rsidR="00000000" w:rsidRPr="00000000">
        <w:rPr>
          <w:rFonts w:ascii="Arial" w:cs="Arial" w:eastAsia="Arial" w:hAnsi="Arial"/>
          <w:b w:val="1"/>
          <w:sz w:val="22"/>
          <w:szCs w:val="22"/>
          <w:vertAlign w:val="superscript"/>
          <w:rtl w:val="0"/>
        </w:rPr>
        <w:t xml:space="preserve">5</w:t>
      </w:r>
    </w:p>
    <w:p w:rsidR="00000000" w:rsidDel="00000000" w:rsidP="00000000" w:rsidRDefault="00000000" w:rsidRPr="00000000" w14:paraId="00000008">
      <w:pPr>
        <w:spacing w:after="160" w:lineRule="auto"/>
        <w:jc w:val="right"/>
        <w:rPr>
          <w:rFonts w:ascii="Arial" w:cs="Arial" w:eastAsia="Arial" w:hAnsi="Arial"/>
          <w:b w:val="1"/>
          <w:sz w:val="22"/>
          <w:szCs w:val="22"/>
          <w:vertAlign w:val="superscript"/>
        </w:rPr>
      </w:pPr>
      <w:r w:rsidDel="00000000" w:rsidR="00000000" w:rsidRPr="00000000">
        <w:rPr>
          <w:rFonts w:ascii="Arial" w:cs="Arial" w:eastAsia="Arial" w:hAnsi="Arial"/>
          <w:b w:val="1"/>
          <w:sz w:val="22"/>
          <w:szCs w:val="22"/>
          <w:rtl w:val="0"/>
        </w:rPr>
        <w:t xml:space="preserve">Talisse Pereira de SOUSA</w:t>
      </w:r>
      <w:r w:rsidDel="00000000" w:rsidR="00000000" w:rsidRPr="00000000">
        <w:rPr>
          <w:rFonts w:ascii="Arial" w:cs="Arial" w:eastAsia="Arial" w:hAnsi="Arial"/>
          <w:b w:val="1"/>
          <w:sz w:val="22"/>
          <w:szCs w:val="22"/>
          <w:vertAlign w:val="superscript"/>
          <w:rtl w:val="0"/>
        </w:rPr>
        <w:t xml:space="preserve">6</w:t>
      </w:r>
    </w:p>
    <w:p w:rsidR="00000000" w:rsidDel="00000000" w:rsidP="00000000" w:rsidRDefault="00000000" w:rsidRPr="00000000" w14:paraId="00000009">
      <w:pPr>
        <w:spacing w:after="160" w:lineRule="auto"/>
        <w:jc w:val="right"/>
        <w:rPr>
          <w:rFonts w:ascii="Arial" w:cs="Arial" w:eastAsia="Arial" w:hAnsi="Arial"/>
          <w:b w:val="1"/>
          <w:sz w:val="22"/>
          <w:szCs w:val="22"/>
          <w:vertAlign w:val="superscript"/>
        </w:rPr>
      </w:pPr>
      <w:r w:rsidDel="00000000" w:rsidR="00000000" w:rsidRPr="00000000">
        <w:rPr>
          <w:rFonts w:ascii="Arial" w:cs="Arial" w:eastAsia="Arial" w:hAnsi="Arial"/>
          <w:b w:val="1"/>
          <w:sz w:val="22"/>
          <w:szCs w:val="22"/>
          <w:rtl w:val="0"/>
        </w:rPr>
        <w:t xml:space="preserve">Daniele Soares de ARAÚJO</w:t>
      </w:r>
      <w:r w:rsidDel="00000000" w:rsidR="00000000" w:rsidRPr="00000000">
        <w:rPr>
          <w:rFonts w:ascii="Arial" w:cs="Arial" w:eastAsia="Arial" w:hAnsi="Arial"/>
          <w:b w:val="1"/>
          <w:sz w:val="22"/>
          <w:szCs w:val="22"/>
          <w:vertAlign w:val="superscript"/>
          <w:rtl w:val="0"/>
        </w:rPr>
        <w:t xml:space="preserve">7</w:t>
      </w:r>
    </w:p>
    <w:p w:rsidR="00000000" w:rsidDel="00000000" w:rsidP="00000000" w:rsidRDefault="00000000" w:rsidRPr="00000000" w14:paraId="0000000A">
      <w:pPr>
        <w:spacing w:after="160" w:lineRule="auto"/>
        <w:jc w:val="right"/>
        <w:rPr>
          <w:rFonts w:ascii="Calibri" w:cs="Calibri" w:eastAsia="Calibri" w:hAnsi="Calibri"/>
        </w:rPr>
      </w:pPr>
      <w:r w:rsidDel="00000000" w:rsidR="00000000" w:rsidRPr="00000000">
        <w:rPr>
          <w:rFonts w:ascii="Arial" w:cs="Arial" w:eastAsia="Arial" w:hAnsi="Arial"/>
          <w:b w:val="1"/>
          <w:sz w:val="22"/>
          <w:szCs w:val="22"/>
          <w:rtl w:val="0"/>
        </w:rPr>
        <w:t xml:space="preserve">Rômulo Augusto Soares MOURA</w:t>
      </w:r>
      <w:r w:rsidDel="00000000" w:rsidR="00000000" w:rsidRPr="00000000">
        <w:rPr>
          <w:rFonts w:ascii="Arial" w:cs="Arial" w:eastAsia="Arial" w:hAnsi="Arial"/>
          <w:b w:val="1"/>
          <w:sz w:val="22"/>
          <w:szCs w:val="22"/>
          <w:vertAlign w:val="superscript"/>
          <w:rtl w:val="0"/>
        </w:rPr>
        <w:t xml:space="preserve">8</w:t>
      </w:r>
      <w:r w:rsidDel="00000000" w:rsidR="00000000" w:rsidRPr="00000000">
        <w:rPr>
          <w:rtl w:val="0"/>
        </w:rPr>
      </w:r>
    </w:p>
    <w:p w:rsidR="00000000" w:rsidDel="00000000" w:rsidP="00000000" w:rsidRDefault="00000000" w:rsidRPr="00000000" w14:paraId="0000000B">
      <w:pPr>
        <w:spacing w:after="160" w:lineRule="auto"/>
        <w:rPr>
          <w:rFonts w:ascii="Arial" w:cs="Arial" w:eastAsia="Arial" w:hAnsi="Arial"/>
          <w:b w:val="1"/>
        </w:rPr>
      </w:pPr>
      <w:r w:rsidDel="00000000" w:rsidR="00000000" w:rsidRPr="00000000">
        <w:rPr>
          <w:rFonts w:ascii="Arial" w:cs="Arial" w:eastAsia="Arial" w:hAnsi="Arial"/>
          <w:b w:val="1"/>
          <w:rtl w:val="0"/>
        </w:rPr>
        <w:t xml:space="preserve">RESUMO</w:t>
      </w:r>
    </w:p>
    <w:p w:rsidR="00000000" w:rsidDel="00000000" w:rsidP="00000000" w:rsidRDefault="00000000" w:rsidRPr="00000000" w14:paraId="0000000C">
      <w:pPr>
        <w:shd w:fill="ffffff" w:val="clear"/>
        <w:spacing w:after="240" w:before="240" w:lineRule="auto"/>
        <w:jc w:val="both"/>
        <w:rPr>
          <w:rFonts w:ascii="Arial" w:cs="Arial" w:eastAsia="Arial" w:hAnsi="Arial"/>
        </w:rPr>
      </w:pPr>
      <w:r w:rsidDel="00000000" w:rsidR="00000000" w:rsidRPr="00000000">
        <w:rPr>
          <w:rFonts w:ascii="Arial" w:cs="Arial" w:eastAsia="Arial" w:hAnsi="Arial"/>
          <w:b w:val="1"/>
          <w:rtl w:val="0"/>
        </w:rPr>
        <w:t xml:space="preserve">Introdução: </w:t>
      </w:r>
      <w:r w:rsidDel="00000000" w:rsidR="00000000" w:rsidRPr="00000000">
        <w:rPr>
          <w:rFonts w:ascii="Arial" w:cs="Arial" w:eastAsia="Arial" w:hAnsi="Arial"/>
          <w:rtl w:val="0"/>
        </w:rPr>
        <w:t xml:space="preserve">O retratamento endodôntico é indicado em casos de insucesso da terapia endodôntica primária, geralmente associado à persistência de microrganismos no sistema de canais radiculares. Entre as causas mais comuns estão a obturação inadequada, a percolação e a exposição da guta-percha ao meio bucal e a reinfecção dos condutos. </w:t>
      </w:r>
      <w:r w:rsidDel="00000000" w:rsidR="00000000" w:rsidRPr="00000000">
        <w:rPr>
          <w:rFonts w:ascii="Arial" w:cs="Arial" w:eastAsia="Arial" w:hAnsi="Arial"/>
          <w:b w:val="1"/>
          <w:rtl w:val="0"/>
        </w:rPr>
        <w:t xml:space="preserve">Relato de Caso: </w:t>
      </w:r>
      <w:r w:rsidDel="00000000" w:rsidR="00000000" w:rsidRPr="00000000">
        <w:rPr>
          <w:rFonts w:ascii="Arial" w:cs="Arial" w:eastAsia="Arial" w:hAnsi="Arial"/>
          <w:rtl w:val="0"/>
        </w:rPr>
        <w:t xml:space="preserve">Paciente do sexo masculino, 58 anos, hipertenso controlado (ASA II), procurou atendimento na Clínica Escola Carolina Freitas Lira, insatisfeito com a estética do sorriso. Ao exame clínico, foi observada fratura coronária com exposição da guta-percha no dente 21, com tempo superior a seis meses. Além disso, o exame radiográfico revelou lesão periapical associada ao elemento dentário, sugestiva de falha no tratamento endodôntico. O plano de tratamento incluiu a remoção do material obturador seguido com a instrumentação dentro dos parâmetros ideais. As etapas clínicas envolveram remoção do material obturador, reinstrumentação </w:t>
      </w:r>
      <w:r w:rsidDel="00000000" w:rsidR="00000000" w:rsidRPr="00000000">
        <w:rPr>
          <w:rFonts w:ascii="Arial" w:cs="Arial" w:eastAsia="Arial" w:hAnsi="Arial"/>
          <w:rtl w:val="0"/>
        </w:rPr>
        <w:t xml:space="preserve">utilizando a técnica manual com limas K e Hedstroem onde a lima memória foi a #35 e o comprimento de trabalho foi em 20mm</w:t>
      </w:r>
      <w:r w:rsidDel="00000000" w:rsidR="00000000" w:rsidRPr="00000000">
        <w:rPr>
          <w:rFonts w:ascii="Arial" w:cs="Arial" w:eastAsia="Arial" w:hAnsi="Arial"/>
          <w:rtl w:val="0"/>
        </w:rPr>
        <w:t xml:space="preserve">, medicação intracanal </w:t>
      </w:r>
      <w:r w:rsidDel="00000000" w:rsidR="00000000" w:rsidRPr="00000000">
        <w:rPr>
          <w:rFonts w:ascii="Arial" w:cs="Arial" w:eastAsia="Arial" w:hAnsi="Arial"/>
          <w:rtl w:val="0"/>
        </w:rPr>
        <w:t xml:space="preserve">com ultracal</w:t>
      </w:r>
      <w:r w:rsidDel="00000000" w:rsidR="00000000" w:rsidRPr="00000000">
        <w:rPr>
          <w:rFonts w:ascii="Arial" w:cs="Arial" w:eastAsia="Arial" w:hAnsi="Arial"/>
          <w:rtl w:val="0"/>
        </w:rPr>
        <w:t xml:space="preserve"> e, em sessão seguinte, nova obturação com a técnica da </w:t>
      </w:r>
      <w:r w:rsidDel="00000000" w:rsidR="00000000" w:rsidRPr="00000000">
        <w:rPr>
          <w:rFonts w:ascii="Arial" w:cs="Arial" w:eastAsia="Arial" w:hAnsi="Arial"/>
          <w:rtl w:val="0"/>
        </w:rPr>
        <w:t xml:space="preserve">condensação lateral </w:t>
      </w:r>
      <w:r w:rsidDel="00000000" w:rsidR="00000000" w:rsidRPr="00000000">
        <w:rPr>
          <w:rFonts w:ascii="Arial" w:cs="Arial" w:eastAsia="Arial" w:hAnsi="Arial"/>
          <w:rtl w:val="0"/>
        </w:rPr>
        <w:t xml:space="preserve">e restauração provisória </w:t>
      </w:r>
      <w:r w:rsidDel="00000000" w:rsidR="00000000" w:rsidRPr="00000000">
        <w:rPr>
          <w:rFonts w:ascii="Arial" w:cs="Arial" w:eastAsia="Arial" w:hAnsi="Arial"/>
          <w:rtl w:val="0"/>
        </w:rPr>
        <w:t xml:space="preserve">com cimento de ionômero de vidro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Considerações Finais: </w:t>
      </w:r>
      <w:r w:rsidDel="00000000" w:rsidR="00000000" w:rsidRPr="00000000">
        <w:rPr>
          <w:rFonts w:ascii="Arial" w:cs="Arial" w:eastAsia="Arial" w:hAnsi="Arial"/>
          <w:rtl w:val="0"/>
        </w:rPr>
        <w:t xml:space="preserve">A desinfecção adequada dos canais radiculares, associada a uma obturação tridimensional, bem como a proservação do tratamento são essenciais para o sucesso clínico. </w:t>
      </w:r>
    </w:p>
    <w:p w:rsidR="00000000" w:rsidDel="00000000" w:rsidP="00000000" w:rsidRDefault="00000000" w:rsidRPr="00000000" w14:paraId="0000000D">
      <w:pPr>
        <w:shd w:fill="ffffff" w:val="clear"/>
        <w:jc w:val="both"/>
        <w:rPr>
          <w:rFonts w:ascii="Calibri" w:cs="Calibri" w:eastAsia="Calibri" w:hAnsi="Calibri"/>
          <w:b w:val="1"/>
        </w:rPr>
      </w:pPr>
      <w:r w:rsidDel="00000000" w:rsidR="00000000" w:rsidRPr="00000000">
        <w:rPr>
          <w:rFonts w:ascii="Arial" w:cs="Arial" w:eastAsia="Arial" w:hAnsi="Arial"/>
          <w:b w:val="1"/>
          <w:rtl w:val="0"/>
        </w:rPr>
        <w:t xml:space="preserve">Descritores: </w:t>
      </w:r>
      <w:r w:rsidDel="00000000" w:rsidR="00000000" w:rsidRPr="00000000">
        <w:rPr>
          <w:rFonts w:ascii="Arial" w:cs="Arial" w:eastAsia="Arial" w:hAnsi="Arial"/>
          <w:highlight w:val="white"/>
          <w:rtl w:val="0"/>
        </w:rPr>
        <w:t xml:space="preserve">retratamento, endodontia, falha de tratamento.</w:t>
      </w:r>
      <w:r w:rsidDel="00000000" w:rsidR="00000000" w:rsidRPr="00000000">
        <w:rPr>
          <w:rtl w:val="0"/>
        </w:rPr>
      </w:r>
    </w:p>
    <w:p w:rsidR="00000000" w:rsidDel="00000000" w:rsidP="00000000" w:rsidRDefault="00000000" w:rsidRPr="00000000" w14:paraId="0000000E">
      <w:pPr>
        <w:spacing w:before="112" w:lineRule="auto"/>
        <w:ind w:right="485"/>
        <w:jc w:val="both"/>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Trabalho apresentado na V Jornada Acadêmica de Odontologia (JAO), promovida pelo Centro Universitário Santo Agostinho, nos dias 29 e 30 de maio de 2025.</w:t>
      </w:r>
    </w:p>
    <w:p w:rsidR="00000000" w:rsidDel="00000000" w:rsidP="00000000" w:rsidRDefault="00000000" w:rsidRPr="00000000" w14:paraId="0000000F">
      <w:pPr>
        <w:jc w:val="both"/>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 Autor. Estudante do curso de graduação em Odontologia no Centro Universitário Santo Agostinho (UNIFSA).</w:t>
      </w:r>
    </w:p>
    <w:p w:rsidR="00000000" w:rsidDel="00000000" w:rsidP="00000000" w:rsidRDefault="00000000" w:rsidRPr="00000000" w14:paraId="00000010">
      <w:pPr>
        <w:jc w:val="both"/>
        <w:rPr>
          <w:sz w:val="20"/>
          <w:szCs w:val="20"/>
        </w:rPr>
      </w:pPr>
      <w:r w:rsidDel="00000000" w:rsidR="00000000" w:rsidRPr="00000000">
        <w:rPr>
          <w:sz w:val="20"/>
          <w:szCs w:val="20"/>
          <w:vertAlign w:val="superscript"/>
          <w:rtl w:val="0"/>
        </w:rPr>
        <w:t xml:space="preserve">3</w:t>
      </w:r>
      <w:r w:rsidDel="00000000" w:rsidR="00000000" w:rsidRPr="00000000">
        <w:rPr>
          <w:sz w:val="20"/>
          <w:szCs w:val="20"/>
          <w:rtl w:val="0"/>
        </w:rPr>
        <w:t xml:space="preserve"> Autor. Estudante do curso de graduação em Odontologia no Centro Universitário Santo Agostinho (UNIFSA).</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 Autor. Estudante do curso de graduação em Odontologia no Centro Universitário Santo Agostinho (UNIFSA).</w:t>
      </w:r>
    </w:p>
    <w:p w:rsidR="00000000" w:rsidDel="00000000" w:rsidP="00000000" w:rsidRDefault="00000000" w:rsidRPr="00000000" w14:paraId="00000012">
      <w:pPr>
        <w:jc w:val="both"/>
        <w:rPr>
          <w:sz w:val="20"/>
          <w:szCs w:val="20"/>
        </w:rPr>
      </w:pPr>
      <w:r w:rsidDel="00000000" w:rsidR="00000000" w:rsidRPr="00000000">
        <w:rPr>
          <w:sz w:val="20"/>
          <w:szCs w:val="20"/>
          <w:vertAlign w:val="superscript"/>
          <w:rtl w:val="0"/>
        </w:rPr>
        <w:t xml:space="preserve">4 </w:t>
      </w:r>
      <w:r w:rsidDel="00000000" w:rsidR="00000000" w:rsidRPr="00000000">
        <w:rPr>
          <w:sz w:val="20"/>
          <w:szCs w:val="20"/>
          <w:rtl w:val="0"/>
        </w:rPr>
        <w:t xml:space="preserve">Autor. Estudante do curso de graduação em Odontologia no Centro Universitário Santo Agostinho (UNIFSA).</w:t>
      </w:r>
    </w:p>
    <w:p w:rsidR="00000000" w:rsidDel="00000000" w:rsidP="00000000" w:rsidRDefault="00000000" w:rsidRPr="00000000" w14:paraId="00000013">
      <w:pPr>
        <w:jc w:val="both"/>
        <w:rPr>
          <w:sz w:val="20"/>
          <w:szCs w:val="20"/>
        </w:rPr>
      </w:pPr>
      <w:r w:rsidDel="00000000" w:rsidR="00000000" w:rsidRPr="00000000">
        <w:rPr>
          <w:sz w:val="20"/>
          <w:szCs w:val="20"/>
          <w:vertAlign w:val="superscript"/>
          <w:rtl w:val="0"/>
        </w:rPr>
        <w:t xml:space="preserve">5</w:t>
      </w:r>
      <w:r w:rsidDel="00000000" w:rsidR="00000000" w:rsidRPr="00000000">
        <w:rPr>
          <w:sz w:val="20"/>
          <w:szCs w:val="20"/>
          <w:rtl w:val="0"/>
        </w:rPr>
        <w:t xml:space="preserve"> Autor. Estudante do curso de graduação em Odontologia no Centro Universitário Santo Agostinho (UNIFSA).</w:t>
      </w:r>
    </w:p>
    <w:p w:rsidR="00000000" w:rsidDel="00000000" w:rsidP="00000000" w:rsidRDefault="00000000" w:rsidRPr="00000000" w14:paraId="00000014">
      <w:pPr>
        <w:jc w:val="both"/>
        <w:rPr>
          <w:sz w:val="20"/>
          <w:szCs w:val="20"/>
        </w:rPr>
      </w:pPr>
      <w:r w:rsidDel="00000000" w:rsidR="00000000" w:rsidRPr="00000000">
        <w:rPr>
          <w:sz w:val="20"/>
          <w:szCs w:val="20"/>
          <w:vertAlign w:val="superscript"/>
          <w:rtl w:val="0"/>
        </w:rPr>
        <w:t xml:space="preserve">6</w:t>
      </w:r>
      <w:r w:rsidDel="00000000" w:rsidR="00000000" w:rsidRPr="00000000">
        <w:rPr>
          <w:sz w:val="20"/>
          <w:szCs w:val="20"/>
          <w:rtl w:val="0"/>
        </w:rPr>
        <w:t xml:space="preserve"> Autor. Estudante do curso de graduação em Odontologia no Centro Universitário Santo Agostinho (UNIFSA).</w:t>
      </w:r>
    </w:p>
    <w:p w:rsidR="00000000" w:rsidDel="00000000" w:rsidP="00000000" w:rsidRDefault="00000000" w:rsidRPr="00000000" w14:paraId="00000015">
      <w:pPr>
        <w:jc w:val="both"/>
        <w:rPr>
          <w:sz w:val="20"/>
          <w:szCs w:val="20"/>
        </w:rPr>
      </w:pPr>
      <w:r w:rsidDel="00000000" w:rsidR="00000000" w:rsidRPr="00000000">
        <w:rPr>
          <w:sz w:val="20"/>
          <w:szCs w:val="20"/>
          <w:vertAlign w:val="superscript"/>
          <w:rtl w:val="0"/>
        </w:rPr>
        <w:t xml:space="preserve">7</w:t>
      </w:r>
      <w:r w:rsidDel="00000000" w:rsidR="00000000" w:rsidRPr="00000000">
        <w:rPr>
          <w:sz w:val="20"/>
          <w:szCs w:val="20"/>
          <w:rtl w:val="0"/>
        </w:rPr>
        <w:t xml:space="preserve"> Autor. Estudante do curso de graduação em Odontologia no Centro Universitário Santo Agostinho (UNIFSA).</w:t>
      </w:r>
    </w:p>
    <w:p w:rsidR="00000000" w:rsidDel="00000000" w:rsidP="00000000" w:rsidRDefault="00000000" w:rsidRPr="00000000" w14:paraId="00000016">
      <w:pPr>
        <w:tabs>
          <w:tab w:val="center" w:leader="none" w:pos="4252"/>
          <w:tab w:val="right" w:leader="none" w:pos="8504"/>
        </w:tabs>
        <w:jc w:val="both"/>
        <w:rPr/>
      </w:pPr>
      <w:r w:rsidDel="00000000" w:rsidR="00000000" w:rsidRPr="00000000">
        <w:rPr>
          <w:sz w:val="20"/>
          <w:szCs w:val="20"/>
          <w:vertAlign w:val="superscript"/>
          <w:rtl w:val="0"/>
        </w:rPr>
        <w:t xml:space="preserve">8 </w:t>
      </w:r>
      <w:r w:rsidDel="00000000" w:rsidR="00000000" w:rsidRPr="00000000">
        <w:rPr>
          <w:sz w:val="20"/>
          <w:szCs w:val="20"/>
          <w:rtl w:val="0"/>
        </w:rPr>
        <w:t xml:space="preserve">Graduado pela Universidade Federal do Piauí (2009), especialista em Endodontia pela Faculdade São Leopoldo Mandic (2012), Mestre em Odontologia pela Universidade Federal do Piauí (2022), Professor do Centro Universitário Santo Agostinho (UNIFSA). Orientador da Pesquisa. </w:t>
      </w:r>
      <w:r w:rsidDel="00000000" w:rsidR="00000000" w:rsidRPr="00000000">
        <w:rPr>
          <w:rtl w:val="0"/>
        </w:rPr>
      </w:r>
    </w:p>
    <w:p w:rsidR="00000000" w:rsidDel="00000000" w:rsidP="00000000" w:rsidRDefault="00000000" w:rsidRPr="00000000" w14:paraId="00000017">
      <w:pPr>
        <w:spacing w:after="120" w:lineRule="auto"/>
        <w:ind w:right="66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6840" w:w="11907" w:orient="portrait"/>
      <w:pgMar w:bottom="851" w:top="1134" w:left="1418" w:right="1275"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16"/>
        <w:szCs w:val="16"/>
        <w:u w:val="none"/>
        <w:shd w:fill="auto" w:val="clear"/>
        <w:vertAlign w:val="baseline"/>
      </w:rPr>
    </w:pPr>
    <w:r w:rsidDel="00000000" w:rsidR="00000000" w:rsidRPr="00000000">
      <w:rPr>
        <w:rtl w:val="0"/>
      </w:rPr>
    </w:r>
  </w:p>
  <w:tbl>
    <w:tblPr>
      <w:tblStyle w:val="Table1"/>
      <w:tblpPr w:leftFromText="187" w:rightFromText="187" w:topFromText="0" w:bottomFromText="0" w:vertAnchor="text" w:horzAnchor="text" w:tblpX="0" w:tblpY="0"/>
      <w:tblW w:w="9214.0" w:type="dxa"/>
      <w:jc w:val="left"/>
      <w:tblLayout w:type="fixed"/>
      <w:tblLook w:val="0400"/>
    </w:tblPr>
    <w:tblGrid>
      <w:gridCol w:w="7371"/>
      <w:gridCol w:w="1843"/>
      <w:tblGridChange w:id="0">
        <w:tblGrid>
          <w:gridCol w:w="7371"/>
          <w:gridCol w:w="1843"/>
        </w:tblGrid>
      </w:tblGridChange>
    </w:tblGrid>
    <w:tr>
      <w:trPr>
        <w:cantSplit w:val="0"/>
        <w:trHeight w:val="727" w:hRule="atLeast"/>
        <w:tblHeader w:val="0"/>
      </w:trPr>
      <w:tc>
        <w:tcPr>
          <w:tcBorders>
            <w:right w:color="4f81bd" w:space="0" w:sz="4" w:val="single"/>
          </w:tcBorders>
        </w:tcPr>
        <w:p w:rsidR="00000000" w:rsidDel="00000000" w:rsidP="00000000" w:rsidRDefault="00000000" w:rsidRPr="00000000" w14:paraId="0000002B">
          <w:pPr>
            <w:tabs>
              <w:tab w:val="left" w:leader="none" w:pos="620"/>
              <w:tab w:val="center" w:leader="none" w:pos="4320"/>
            </w:tabs>
            <w:jc w:val="right"/>
            <w:rPr>
              <w:rFonts w:ascii="Calibri" w:cs="Calibri" w:eastAsia="Calibri" w:hAnsi="Calibri"/>
              <w:b w:val="1"/>
              <w:color w:val="17365d"/>
              <w:sz w:val="20"/>
              <w:szCs w:val="20"/>
            </w:rPr>
          </w:pPr>
          <w:r w:rsidDel="00000000" w:rsidR="00000000" w:rsidRPr="00000000">
            <w:rPr>
              <w:rtl w:val="0"/>
            </w:rPr>
          </w:r>
        </w:p>
      </w:tc>
      <w:tc>
        <w:tcPr>
          <w:tcBorders>
            <w:left w:color="4f81bd" w:space="0" w:sz="4" w:val="single"/>
          </w:tcBorders>
        </w:tcPr>
        <w:p w:rsidR="00000000" w:rsidDel="00000000" w:rsidP="00000000" w:rsidRDefault="00000000" w:rsidRPr="00000000" w14:paraId="0000002C">
          <w:pPr>
            <w:tabs>
              <w:tab w:val="left" w:leader="none" w:pos="1490"/>
            </w:tabs>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-662301</wp:posOffset>
          </wp:positionH>
          <wp:positionV relativeFrom="paragraph">
            <wp:posOffset>-307202</wp:posOffset>
          </wp:positionV>
          <wp:extent cx="7248500" cy="1484416"/>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48500" cy="1484416"/>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f243e"/>
        <w:sz w:val="16"/>
        <w:szCs w:val="16"/>
        <w:u w:val="none"/>
        <w:shd w:fill="dbe5f1"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366091" w:val="clear"/>
      <w:tabs>
        <w:tab w:val="center" w:leader="none" w:pos="4252"/>
        <w:tab w:val="right" w:leader="none" w:pos="8504"/>
      </w:tabs>
      <w:spacing w:after="0" w:before="0" w:line="240" w:lineRule="auto"/>
      <w:ind w:left="-284" w:right="-284" w:firstLine="0"/>
      <w:jc w:val="center"/>
      <w:rPr>
        <w:rFonts w:ascii="Calibri" w:cs="Calibri" w:eastAsia="Calibri" w:hAnsi="Calibri"/>
        <w:b w:val="1"/>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1"/>
        <w:i w:val="0"/>
        <w:smallCaps w:val="0"/>
        <w:strike w:val="0"/>
        <w:color w:val="ffffff"/>
        <w:sz w:val="16"/>
        <w:szCs w:val="16"/>
        <w:u w:val="none"/>
        <w:shd w:fill="auto" w:val="clear"/>
        <w:vertAlign w:val="baseline"/>
        <w:rtl w:val="0"/>
      </w:rPr>
      <w:t xml:space="preserve">ANAIS 5º JAO UNIFSA 2025 | 29 e 30 de maio de 2025 | Centro Universitário Santo Agostinho - Teresina – PI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60" w:lineRule="auto"/>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jc w:val="both"/>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60" w:lineRule="auto"/>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WjVEvOMQJVTZQXEVYg/n25m6g==">CgMxLjA4AHIhMWhaektqcTNlY0lnQkhBdHpVTXc5cF9ZeHBjM2ZKVlNE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