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B86C" w14:textId="36135FAF" w:rsidR="005256AF" w:rsidRDefault="005256AF">
      <w:r>
        <w:t>O presente trabalho consiste em compreender como os elementos do meio ambiente e da religiosidade podem ser trabalhados nas aulas de ensino religioso. Percebemos que nos grupos de matriz africana e outros grupos religiosos a relação com a natureza é essencial para a compreensão e da suas vivencias religiosas. A ideia é como e a importância de trabalhar esses conhecimentos em sala de aula</w:t>
      </w:r>
    </w:p>
    <w:sectPr w:rsidR="00525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AF"/>
    <w:rsid w:val="00361B34"/>
    <w:rsid w:val="00414DEE"/>
    <w:rsid w:val="005256AF"/>
    <w:rsid w:val="008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584F"/>
  <w15:chartTrackingRefBased/>
  <w15:docId w15:val="{2CBA9BB2-5790-478D-AE61-092889AB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56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56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56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56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56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56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56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56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56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56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5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2025-08-01T20:39:00Z</dcterms:created>
  <dcterms:modified xsi:type="dcterms:W3CDTF">2025-08-01T20:41:00Z</dcterms:modified>
</cp:coreProperties>
</file>