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C68" w:rsidRPr="00476C68" w:rsidRDefault="00476C68" w:rsidP="00476C68">
      <w:pPr>
        <w:spacing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6"/>
          <w:lang w:eastAsia="pt-BR"/>
        </w:rPr>
      </w:pPr>
      <w:proofErr w:type="spellStart"/>
      <w:r w:rsidRPr="00476C68">
        <w:rPr>
          <w:rFonts w:ascii="Arial" w:eastAsia="Times New Roman" w:hAnsi="Arial" w:cs="Arial"/>
          <w:b/>
          <w:sz w:val="24"/>
          <w:szCs w:val="26"/>
          <w:lang w:eastAsia="pt-BR"/>
        </w:rPr>
        <w:t>Mononeuropatia</w:t>
      </w:r>
      <w:proofErr w:type="spellEnd"/>
      <w:r w:rsidRPr="00476C68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múltipla como manifestação de hanseníase neural pura</w:t>
      </w:r>
    </w:p>
    <w:p w:rsidR="00476C68" w:rsidRDefault="00476C68" w:rsidP="00476C68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r w:rsidRPr="00476C68">
        <w:rPr>
          <w:rFonts w:ascii="Arial" w:eastAsia="Times New Roman" w:hAnsi="Arial" w:cs="Arial"/>
          <w:sz w:val="24"/>
          <w:szCs w:val="26"/>
          <w:lang w:eastAsia="pt-BR"/>
        </w:rPr>
        <w:t>Hanseníase é uma doença milenar e que ainda está presente no Brasil. O relato de caso apresentado mostra a importância do médico neurologista de considerar a hanseníase como um diagnóstico diferencial de neuropatias múltiplas.</w:t>
      </w:r>
    </w:p>
    <w:p w:rsidR="00204589" w:rsidRDefault="00476C68" w:rsidP="00476C68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Apresentamos o caso de uma paciente feminina de 53 anos, natural de Belo Horizonte, sem história de hanseníase na família, com diagnósticos prévios de hipotireoidismo, síndrome de </w:t>
      </w:r>
      <w:proofErr w:type="spellStart"/>
      <w:r w:rsidRPr="00476C68">
        <w:rPr>
          <w:rFonts w:ascii="Arial" w:eastAsia="Times New Roman" w:hAnsi="Arial" w:cs="Arial"/>
          <w:sz w:val="24"/>
          <w:szCs w:val="26"/>
          <w:lang w:eastAsia="pt-BR"/>
        </w:rPr>
        <w:t>Sjogren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e </w:t>
      </w:r>
      <w:proofErr w:type="spellStart"/>
      <w:r w:rsidRPr="00476C68">
        <w:rPr>
          <w:rFonts w:ascii="Arial" w:eastAsia="Times New Roman" w:hAnsi="Arial" w:cs="Arial"/>
          <w:sz w:val="24"/>
          <w:szCs w:val="26"/>
          <w:lang w:eastAsia="pt-BR"/>
        </w:rPr>
        <w:t>Behçet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que motivaram o uso de </w:t>
      </w:r>
      <w:proofErr w:type="spellStart"/>
      <w:r w:rsidRPr="00476C68">
        <w:rPr>
          <w:rFonts w:ascii="Arial" w:eastAsia="Times New Roman" w:hAnsi="Arial" w:cs="Arial"/>
          <w:sz w:val="24"/>
          <w:szCs w:val="26"/>
          <w:lang w:eastAsia="pt-BR"/>
        </w:rPr>
        <w:t>azatioprina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e prednisona. Foi internada em agosto de 2022 com quadro de tetraparesia dolorosa. Foi submetida à eletroneuromiografia que evidenciou padrão </w:t>
      </w:r>
      <w:proofErr w:type="spellStart"/>
      <w:r w:rsidRPr="00476C68">
        <w:rPr>
          <w:rFonts w:ascii="Arial" w:eastAsia="Times New Roman" w:hAnsi="Arial" w:cs="Arial"/>
          <w:sz w:val="24"/>
          <w:szCs w:val="26"/>
          <w:lang w:eastAsia="pt-BR"/>
        </w:rPr>
        <w:t>miopático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proximal sobreposto a </w:t>
      </w:r>
      <w:proofErr w:type="spellStart"/>
      <w:r w:rsidRPr="00476C68">
        <w:rPr>
          <w:rFonts w:ascii="Arial" w:eastAsia="Times New Roman" w:hAnsi="Arial" w:cs="Arial"/>
          <w:sz w:val="24"/>
          <w:szCs w:val="26"/>
          <w:lang w:eastAsia="pt-BR"/>
        </w:rPr>
        <w:t>mononeuropatia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múltipla </w:t>
      </w:r>
      <w:proofErr w:type="spellStart"/>
      <w:r w:rsidRPr="00476C68">
        <w:rPr>
          <w:rFonts w:ascii="Arial" w:eastAsia="Times New Roman" w:hAnsi="Arial" w:cs="Arial"/>
          <w:sz w:val="24"/>
          <w:szCs w:val="26"/>
          <w:lang w:eastAsia="pt-BR"/>
        </w:rPr>
        <w:t>axonal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, com evidente descargas </w:t>
      </w:r>
      <w:proofErr w:type="spellStart"/>
      <w:r w:rsidRPr="00476C68">
        <w:rPr>
          <w:rFonts w:ascii="Arial" w:eastAsia="Times New Roman" w:hAnsi="Arial" w:cs="Arial"/>
          <w:sz w:val="24"/>
          <w:szCs w:val="26"/>
          <w:lang w:eastAsia="pt-BR"/>
        </w:rPr>
        <w:t>miotônicas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e </w:t>
      </w:r>
      <w:proofErr w:type="spellStart"/>
      <w:r w:rsidRPr="00476C68">
        <w:rPr>
          <w:rFonts w:ascii="Arial" w:eastAsia="Times New Roman" w:hAnsi="Arial" w:cs="Arial"/>
          <w:sz w:val="24"/>
          <w:szCs w:val="26"/>
          <w:lang w:eastAsia="pt-BR"/>
        </w:rPr>
        <w:t>pseudomiotônicas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. Foi submetida a um ciclo de ciclofosfamida, em seguida intercorreu com febre, eritema nodoso necrotizante e </w:t>
      </w:r>
      <w:proofErr w:type="spellStart"/>
      <w:r w:rsidRPr="00476C68">
        <w:rPr>
          <w:rFonts w:ascii="Arial" w:eastAsia="Times New Roman" w:hAnsi="Arial" w:cs="Arial"/>
          <w:sz w:val="24"/>
          <w:szCs w:val="26"/>
          <w:lang w:eastAsia="pt-BR"/>
        </w:rPr>
        <w:t>neutropenia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em setembro/2022. Foi submetida à biópsia das lesões dérmicas, que evidenciou infiltrado inflamatório difuso misto, predominantemente </w:t>
      </w:r>
      <w:proofErr w:type="spellStart"/>
      <w:r w:rsidRPr="00476C68">
        <w:rPr>
          <w:rFonts w:ascii="Arial" w:eastAsia="Times New Roman" w:hAnsi="Arial" w:cs="Arial"/>
          <w:sz w:val="24"/>
          <w:szCs w:val="26"/>
          <w:lang w:eastAsia="pt-BR"/>
        </w:rPr>
        <w:t>histiocitário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com esboço de formação de granulomas e presença de BAAR - 10 a 100 bacilos íntegros por campo. Portanto, foi definido diagnósticos de hanseníase </w:t>
      </w:r>
      <w:proofErr w:type="spellStart"/>
      <w:r w:rsidRPr="00476C68">
        <w:rPr>
          <w:rFonts w:ascii="Arial" w:eastAsia="Times New Roman" w:hAnsi="Arial" w:cs="Arial"/>
          <w:sz w:val="24"/>
          <w:szCs w:val="26"/>
          <w:lang w:eastAsia="pt-BR"/>
        </w:rPr>
        <w:t>Virchowiana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com reação tipo 2. Foi suspenso o tratamento imunossupressor e iniciado tratamento para hanseníase em outubro/2022 com esquema PQT-U composto por </w:t>
      </w:r>
      <w:proofErr w:type="spellStart"/>
      <w:r w:rsidRPr="00476C68">
        <w:rPr>
          <w:rFonts w:ascii="Arial" w:eastAsia="Times New Roman" w:hAnsi="Arial" w:cs="Arial"/>
          <w:sz w:val="24"/>
          <w:szCs w:val="26"/>
          <w:lang w:eastAsia="pt-BR"/>
        </w:rPr>
        <w:t>Rifampicina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600 mg, </w:t>
      </w:r>
      <w:proofErr w:type="spellStart"/>
      <w:r w:rsidRPr="00476C68">
        <w:rPr>
          <w:rFonts w:ascii="Arial" w:eastAsia="Times New Roman" w:hAnsi="Arial" w:cs="Arial"/>
          <w:sz w:val="24"/>
          <w:szCs w:val="26"/>
          <w:lang w:eastAsia="pt-BR"/>
        </w:rPr>
        <w:t>Dapsona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100</w:t>
      </w:r>
      <w:r w:rsidR="00FA4CDB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mg e </w:t>
      </w:r>
      <w:proofErr w:type="spellStart"/>
      <w:r w:rsidRPr="00476C68">
        <w:rPr>
          <w:rFonts w:ascii="Arial" w:eastAsia="Times New Roman" w:hAnsi="Arial" w:cs="Arial"/>
          <w:sz w:val="24"/>
          <w:szCs w:val="26"/>
          <w:lang w:eastAsia="pt-BR"/>
        </w:rPr>
        <w:t>Clofazimina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FA4CDB">
        <w:rPr>
          <w:rFonts w:ascii="Arial" w:eastAsia="Times New Roman" w:hAnsi="Arial" w:cs="Arial"/>
          <w:sz w:val="24"/>
          <w:szCs w:val="26"/>
          <w:lang w:eastAsia="pt-BR"/>
        </w:rPr>
        <w:t xml:space="preserve">300 mg. Evoluiu com anemia por </w:t>
      </w:r>
      <w:proofErr w:type="spellStart"/>
      <w:r w:rsidR="00FA4CDB">
        <w:rPr>
          <w:rFonts w:ascii="Arial" w:eastAsia="Times New Roman" w:hAnsi="Arial" w:cs="Arial"/>
          <w:sz w:val="24"/>
          <w:szCs w:val="26"/>
          <w:lang w:eastAsia="pt-BR"/>
        </w:rPr>
        <w:t>D</w:t>
      </w:r>
      <w:r w:rsidRPr="00476C68">
        <w:rPr>
          <w:rFonts w:ascii="Arial" w:eastAsia="Times New Roman" w:hAnsi="Arial" w:cs="Arial"/>
          <w:sz w:val="24"/>
          <w:szCs w:val="26"/>
          <w:lang w:eastAsia="pt-BR"/>
        </w:rPr>
        <w:t>a</w:t>
      </w:r>
      <w:r w:rsidR="00FA4CDB">
        <w:rPr>
          <w:rFonts w:ascii="Arial" w:eastAsia="Times New Roman" w:hAnsi="Arial" w:cs="Arial"/>
          <w:sz w:val="24"/>
          <w:szCs w:val="26"/>
          <w:lang w:eastAsia="pt-BR"/>
        </w:rPr>
        <w:t>psona</w:t>
      </w:r>
      <w:proofErr w:type="spellEnd"/>
      <w:r w:rsidR="00FA4CDB">
        <w:rPr>
          <w:rFonts w:ascii="Arial" w:eastAsia="Times New Roman" w:hAnsi="Arial" w:cs="Arial"/>
          <w:sz w:val="24"/>
          <w:szCs w:val="26"/>
          <w:lang w:eastAsia="pt-BR"/>
        </w:rPr>
        <w:t xml:space="preserve">, que foi substituída por </w:t>
      </w:r>
      <w:proofErr w:type="spellStart"/>
      <w:r w:rsidR="00FA4CDB">
        <w:rPr>
          <w:rFonts w:ascii="Arial" w:eastAsia="Times New Roman" w:hAnsi="Arial" w:cs="Arial"/>
          <w:sz w:val="24"/>
          <w:szCs w:val="26"/>
          <w:lang w:eastAsia="pt-BR"/>
        </w:rPr>
        <w:t>O</w:t>
      </w:r>
      <w:r w:rsidRPr="00476C68">
        <w:rPr>
          <w:rFonts w:ascii="Arial" w:eastAsia="Times New Roman" w:hAnsi="Arial" w:cs="Arial"/>
          <w:sz w:val="24"/>
          <w:szCs w:val="26"/>
          <w:lang w:eastAsia="pt-BR"/>
        </w:rPr>
        <w:t>floxacina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. O surto reacional foi tratado inicialmente com talidomida </w:t>
      </w:r>
      <w:r w:rsidR="00FA4CDB">
        <w:rPr>
          <w:rFonts w:ascii="Arial" w:eastAsia="Times New Roman" w:hAnsi="Arial" w:cs="Arial"/>
          <w:sz w:val="24"/>
          <w:szCs w:val="26"/>
          <w:lang w:eastAsia="pt-BR"/>
        </w:rPr>
        <w:t xml:space="preserve">e, posteriormente, trocado por </w:t>
      </w:r>
      <w:proofErr w:type="spellStart"/>
      <w:r w:rsidR="00FA4CDB">
        <w:rPr>
          <w:rFonts w:ascii="Arial" w:eastAsia="Times New Roman" w:hAnsi="Arial" w:cs="Arial"/>
          <w:sz w:val="24"/>
          <w:szCs w:val="26"/>
          <w:lang w:eastAsia="pt-BR"/>
        </w:rPr>
        <w:t>P</w:t>
      </w:r>
      <w:r w:rsidRPr="00476C68">
        <w:rPr>
          <w:rFonts w:ascii="Arial" w:eastAsia="Times New Roman" w:hAnsi="Arial" w:cs="Arial"/>
          <w:sz w:val="24"/>
          <w:szCs w:val="26"/>
          <w:lang w:eastAsia="pt-BR"/>
        </w:rPr>
        <w:t>entoxifilina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devido a episódio de tromboembolismo pulmonar em dezembro/2022. Após início de tratamento da hanseníase, paciente não recorreu com úlcera orais e genitais, e melhorou dos sintomas de boca e olho</w:t>
      </w:r>
      <w:r w:rsidR="00FA4CDB">
        <w:rPr>
          <w:rFonts w:ascii="Arial" w:eastAsia="Times New Roman" w:hAnsi="Arial" w:cs="Arial"/>
          <w:sz w:val="24"/>
          <w:szCs w:val="26"/>
          <w:lang w:eastAsia="pt-BR"/>
        </w:rPr>
        <w:t>s</w:t>
      </w:r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secos. Nova avaliação reumatológica não mais evidenciou FAN e seus desdobramentos positivos como no passado. Paciente evoluiu com recuperação da força e foi submetida a nova eletroneuromiografia de controle em junho de 2023, na qual h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ouve desaparecimento do padrão </w:t>
      </w:r>
      <w:proofErr w:type="spellStart"/>
      <w:r>
        <w:rPr>
          <w:rFonts w:ascii="Arial" w:eastAsia="Times New Roman" w:hAnsi="Arial" w:cs="Arial"/>
          <w:sz w:val="24"/>
          <w:szCs w:val="26"/>
          <w:lang w:eastAsia="pt-BR"/>
        </w:rPr>
        <w:t>m</w:t>
      </w:r>
      <w:r w:rsidRPr="00476C68">
        <w:rPr>
          <w:rFonts w:ascii="Arial" w:eastAsia="Times New Roman" w:hAnsi="Arial" w:cs="Arial"/>
          <w:sz w:val="24"/>
          <w:szCs w:val="26"/>
          <w:lang w:eastAsia="pt-BR"/>
        </w:rPr>
        <w:t>iopático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e da desnervação ativa em relação ao exame anterior.</w:t>
      </w:r>
    </w:p>
    <w:p w:rsidR="00D14917" w:rsidRPr="00FA4CDB" w:rsidRDefault="00476C68" w:rsidP="00FA4CDB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Esse caso de hanseníase neural pura manifestando-se como </w:t>
      </w:r>
      <w:proofErr w:type="spellStart"/>
      <w:r w:rsidRPr="00476C68">
        <w:rPr>
          <w:rFonts w:ascii="Arial" w:eastAsia="Times New Roman" w:hAnsi="Arial" w:cs="Arial"/>
          <w:sz w:val="24"/>
          <w:szCs w:val="26"/>
          <w:lang w:eastAsia="pt-BR"/>
        </w:rPr>
        <w:t>mononeuropatia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múltipla com padrão </w:t>
      </w:r>
      <w:proofErr w:type="spellStart"/>
      <w:r w:rsidRPr="00476C68">
        <w:rPr>
          <w:rFonts w:ascii="Arial" w:eastAsia="Times New Roman" w:hAnsi="Arial" w:cs="Arial"/>
          <w:sz w:val="24"/>
          <w:szCs w:val="26"/>
          <w:lang w:eastAsia="pt-BR"/>
        </w:rPr>
        <w:t>miopático</w:t>
      </w:r>
      <w:proofErr w:type="spellEnd"/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proximal é relevante pois</w:t>
      </w:r>
      <w:r w:rsidR="00FA4CDB">
        <w:rPr>
          <w:rFonts w:ascii="Arial" w:eastAsia="Times New Roman" w:hAnsi="Arial" w:cs="Arial"/>
          <w:sz w:val="24"/>
          <w:szCs w:val="26"/>
          <w:lang w:eastAsia="pt-BR"/>
        </w:rPr>
        <w:t>,</w:t>
      </w:r>
      <w:r w:rsidRPr="00476C68">
        <w:rPr>
          <w:rFonts w:ascii="Arial" w:eastAsia="Times New Roman" w:hAnsi="Arial" w:cs="Arial"/>
          <w:sz w:val="24"/>
          <w:szCs w:val="26"/>
          <w:lang w:eastAsia="pt-BR"/>
        </w:rPr>
        <w:t xml:space="preserve"> reforça a necessidade de se considerar hanseníase nos diagnósticos diferenciais, mesmo em grandes centro urbanos e sem história epidemiológica de contato conhecida.</w:t>
      </w:r>
      <w:bookmarkStart w:id="0" w:name="_GoBack"/>
      <w:bookmarkEnd w:id="0"/>
    </w:p>
    <w:sectPr w:rsidR="00D14917" w:rsidRPr="00FA4CDB" w:rsidSect="00775606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89"/>
    <w:rsid w:val="00174A5E"/>
    <w:rsid w:val="00204589"/>
    <w:rsid w:val="00476C68"/>
    <w:rsid w:val="004A07BE"/>
    <w:rsid w:val="00505680"/>
    <w:rsid w:val="0063191B"/>
    <w:rsid w:val="006B255A"/>
    <w:rsid w:val="00775606"/>
    <w:rsid w:val="007A6419"/>
    <w:rsid w:val="008F75D4"/>
    <w:rsid w:val="00901D9A"/>
    <w:rsid w:val="00A65CDC"/>
    <w:rsid w:val="00D14917"/>
    <w:rsid w:val="00FA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BC223-43FF-47D9-9B70-C6FDC29A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USER</cp:lastModifiedBy>
  <cp:revision>2</cp:revision>
  <cp:lastPrinted>2023-08-21T00:53:00Z</cp:lastPrinted>
  <dcterms:created xsi:type="dcterms:W3CDTF">2023-08-21T16:38:00Z</dcterms:created>
  <dcterms:modified xsi:type="dcterms:W3CDTF">2023-08-21T16:38:00Z</dcterms:modified>
</cp:coreProperties>
</file>