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9751" w14:textId="77777777" w:rsidR="00A4507D" w:rsidRDefault="00A4507D">
      <w:pPr>
        <w:jc w:val="right"/>
        <w:rPr>
          <w:rFonts w:ascii="Times New Roman" w:eastAsia="Times New Roman" w:hAnsi="Times New Roman" w:cs="Times New Roman"/>
        </w:rPr>
      </w:pPr>
    </w:p>
    <w:p w14:paraId="78A704FE" w14:textId="5A00FD37" w:rsidR="00A4507D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 REFLEXÕES INICIAIS SOBRE AS REPRESENTAÇÕES SOCIAIS DE “ALUNO” DOS PROFESSORES DE UM PRÉ-VESTIBULAR SOCIAL NO COMPLEXO DO SALGUEIRO</w:t>
      </w:r>
      <w:r w:rsidR="005A157F">
        <w:rPr>
          <w:rFonts w:ascii="Times New Roman" w:eastAsia="Times New Roman" w:hAnsi="Times New Roman" w:cs="Times New Roman"/>
          <w:b/>
        </w:rPr>
        <w:t>-SG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778D2B" w14:textId="77777777" w:rsidR="00A4507D" w:rsidRDefault="00A4507D">
      <w:pPr>
        <w:jc w:val="center"/>
        <w:rPr>
          <w:rFonts w:ascii="Times New Roman" w:eastAsia="Times New Roman" w:hAnsi="Times New Roman" w:cs="Times New Roman"/>
          <w:b/>
        </w:rPr>
      </w:pPr>
    </w:p>
    <w:p w14:paraId="176F7F11" w14:textId="77777777" w:rsidR="00A4507D" w:rsidRDefault="00A4507D">
      <w:pPr>
        <w:rPr>
          <w:rFonts w:ascii="Times New Roman" w:eastAsia="Times New Roman" w:hAnsi="Times New Roman" w:cs="Times New Roman"/>
          <w:b/>
        </w:rPr>
      </w:pPr>
    </w:p>
    <w:p w14:paraId="2B6A7DDA" w14:textId="77777777" w:rsidR="00A4507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Alan Navarro Fernandes (Universidade do Estado do Rio de Janeiro)</w:t>
      </w:r>
    </w:p>
    <w:p w14:paraId="2F6AE365" w14:textId="77777777" w:rsidR="00A4507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Arthur Vianna Ferreira (Universidade do Estado do Rio de Janeiro)</w:t>
      </w:r>
    </w:p>
    <w:p w14:paraId="32A2734F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1D2E5A78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16516CFC" w14:textId="77777777" w:rsidR="00A4507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4CCECCA6" w14:textId="77777777" w:rsidR="00A4507D" w:rsidRDefault="00A4507D">
      <w:pPr>
        <w:jc w:val="both"/>
        <w:rPr>
          <w:rFonts w:ascii="Times New Roman" w:eastAsia="Times New Roman" w:hAnsi="Times New Roman" w:cs="Times New Roman"/>
        </w:rPr>
      </w:pPr>
    </w:p>
    <w:p w14:paraId="348DD2A0" w14:textId="564A25D6" w:rsidR="00A4507D" w:rsidRDefault="00000000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Nesta comunicação serão apresentadas as bases de uma pesquisa sobre a relação professor-aluno. O objetivo deste estudo é identificar e analisar as representações sociais de "aluno" dos professores de um pré-vestibular social no Complexo do Salgueiro, em São Gonçalo, Rio de Janeiro. A fundamentação teórica se apoia na Teoria das Representações Sociais, de Willem </w:t>
      </w:r>
      <w:proofErr w:type="spellStart"/>
      <w:r>
        <w:rPr>
          <w:rFonts w:ascii="Times New Roman" w:eastAsia="Times New Roman" w:hAnsi="Times New Roman" w:cs="Times New Roman"/>
        </w:rPr>
        <w:t>Doise</w:t>
      </w:r>
      <w:proofErr w:type="spellEnd"/>
      <w:r>
        <w:rPr>
          <w:rFonts w:ascii="Times New Roman" w:eastAsia="Times New Roman" w:hAnsi="Times New Roman" w:cs="Times New Roman"/>
        </w:rPr>
        <w:t xml:space="preserve"> (2001), e na Pedagogia Social, com ênfase na Pedagogia da Hospitalidade, de Isabel Baptista (2005), para entender os elementos que organizam esta prática sob um olhar psicossocial. A metodologia inclui diários de campo e entrevistas </w:t>
      </w:r>
      <w:proofErr w:type="spellStart"/>
      <w:r>
        <w:rPr>
          <w:rFonts w:ascii="Times New Roman" w:eastAsia="Times New Roman" w:hAnsi="Times New Roman" w:cs="Times New Roman"/>
        </w:rPr>
        <w:t>semidirigidas</w:t>
      </w:r>
      <w:proofErr w:type="spellEnd"/>
      <w:r>
        <w:rPr>
          <w:rFonts w:ascii="Times New Roman" w:eastAsia="Times New Roman" w:hAnsi="Times New Roman" w:cs="Times New Roman"/>
        </w:rPr>
        <w:t xml:space="preserve"> com os educadores do pré-vestibular. A análise utilizada é a retórica-filosófica do discurso, construída por Tarso </w:t>
      </w:r>
      <w:proofErr w:type="spellStart"/>
      <w:r>
        <w:rPr>
          <w:rFonts w:ascii="Times New Roman" w:eastAsia="Times New Roman" w:hAnsi="Times New Roman" w:cs="Times New Roman"/>
        </w:rPr>
        <w:t>Mazzotti</w:t>
      </w:r>
      <w:proofErr w:type="spellEnd"/>
      <w:r>
        <w:rPr>
          <w:rFonts w:ascii="Times New Roman" w:eastAsia="Times New Roman" w:hAnsi="Times New Roman" w:cs="Times New Roman"/>
        </w:rPr>
        <w:t xml:space="preserve"> (2003) e Arthur Ferreira (2020). Como resultados parciais, observa-se que há representações sociais de “aluno” entre os educadores, as quais são condicionadas — e condicionantes — das dinâmicas socioeconômicas inerentes ao território em que os estudantes estão inseridos. </w:t>
      </w:r>
    </w:p>
    <w:p w14:paraId="3FD60131" w14:textId="77777777" w:rsidR="00A4507D" w:rsidRDefault="00A4507D">
      <w:pPr>
        <w:jc w:val="both"/>
        <w:rPr>
          <w:rFonts w:ascii="Times New Roman" w:eastAsia="Times New Roman" w:hAnsi="Times New Roman" w:cs="Times New Roman"/>
        </w:rPr>
      </w:pPr>
    </w:p>
    <w:p w14:paraId="0FF89011" w14:textId="77D45E52" w:rsidR="00A4507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 Chaves:</w:t>
      </w:r>
      <w:r>
        <w:rPr>
          <w:rFonts w:ascii="Times New Roman" w:eastAsia="Times New Roman" w:hAnsi="Times New Roman" w:cs="Times New Roman"/>
        </w:rPr>
        <w:t xml:space="preserve"> Complexo do Salgueiro; Pedagogia Social; pré-vestibular</w:t>
      </w:r>
      <w:r w:rsidR="00130DEC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ocial; Teoria das Representações Sociais</w:t>
      </w:r>
    </w:p>
    <w:p w14:paraId="4DBB98CB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30E17B90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554E18A8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Esta comunicação oral apresenta a justificativa, os caminhos teórico-metodológicos e os resultados parciais de uma pesquisa de mestrado em andamento, atualmente na fase de análise de dados. O estudo investiga as representações sociais de "aluno" entre professores do Pré-Vestibular Social do Salgueiro durante 2023. A partir desta investigação, foi possível notar o pré-vestibular social como um potencial campo para reflexões da Pedagogia Social e também identificar representações sociais de “aluno” compartilhadas pelo grupo de professores que atuaram no projeto durante o período mencionado.</w:t>
      </w:r>
    </w:p>
    <w:p w14:paraId="3014BA9A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>O</w:t>
      </w:r>
      <w:r>
        <w:rPr>
          <w:rFonts w:ascii="Times New Roman" w:eastAsia="Times New Roman" w:hAnsi="Times New Roman" w:cs="Times New Roman"/>
          <w:color w:val="000000"/>
        </w:rPr>
        <w:t xml:space="preserve"> estudo estima contribuir para as discussões relacionadas </w:t>
      </w:r>
      <w:r>
        <w:rPr>
          <w:rFonts w:ascii="Times New Roman" w:eastAsia="Times New Roman" w:hAnsi="Times New Roman" w:cs="Times New Roman"/>
        </w:rPr>
        <w:t>à abordagem</w:t>
      </w:r>
      <w:r>
        <w:rPr>
          <w:rFonts w:ascii="Times New Roman" w:eastAsia="Times New Roman" w:hAnsi="Times New Roman" w:cs="Times New Roman"/>
          <w:color w:val="000000"/>
        </w:rPr>
        <w:t xml:space="preserve"> societal da Teoria das Representações Sociais (DOISE, 2001), no campo da Educação e também para a sistematização das </w:t>
      </w:r>
      <w:r>
        <w:rPr>
          <w:rFonts w:ascii="Times New Roman" w:eastAsia="Times New Roman" w:hAnsi="Times New Roman" w:cs="Times New Roman"/>
        </w:rPr>
        <w:t xml:space="preserve">práticas educativas </w:t>
      </w:r>
      <w:r>
        <w:rPr>
          <w:rFonts w:ascii="Times New Roman" w:eastAsia="Times New Roman" w:hAnsi="Times New Roman" w:cs="Times New Roman"/>
          <w:i/>
        </w:rPr>
        <w:t>não escolares</w:t>
      </w:r>
      <w:r>
        <w:rPr>
          <w:rFonts w:ascii="Times New Roman" w:eastAsia="Times New Roman" w:hAnsi="Times New Roman" w:cs="Times New Roman"/>
        </w:rPr>
        <w:t>, a partir da Pedagogia da Hospitalidade (BAPTISTA, 2005; FERREIRA, 2020). Assim, busca-se aglutinar essas duas bases teóricas para discutir quais elementos constituíram a relação socioeducacional entre estes sujeitos — professor e aluno — naquele pré-vestibular social e como isso se desvela a partir de uma perspectiva psicossocial das práticas educativas não escolares.</w:t>
      </w:r>
    </w:p>
    <w:p w14:paraId="26476A0F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Complexo do Salgueiro, no 1º distrito de São Gonçalo, Região Metropolitana do Rio de Janeiro, inclui os bairros Fazenda dos Mineiros, Itaoca, Itaúna, Luiz, Caçador, Palmeiras, Recanto das Acácias e Salgueiro, este último nomeando todo o Complexo</w:t>
      </w:r>
      <w:r>
        <w:rPr>
          <w:rFonts w:ascii="Times New Roman" w:eastAsia="Times New Roman" w:hAnsi="Times New Roman" w:cs="Times New Roman"/>
        </w:rPr>
        <w:t>. N</w:t>
      </w:r>
      <w:r>
        <w:rPr>
          <w:rFonts w:ascii="Times New Roman" w:eastAsia="Times New Roman" w:hAnsi="Times New Roman" w:cs="Times New Roman"/>
          <w:color w:val="000000"/>
        </w:rPr>
        <w:t>o ano de 2021, estudantes do Complexo do Salgueiro foram impedidos de realizar o Exame Nacional do Ensino Médio (Enem), na data regular, devido à deflagração de uma operação da Polícia Militar do Estado do Rio de Janeiro (PMERJ) iniciada no sábado, dia 20 de novembro de 2021. A operação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 xml:space="preserve">, que deixou 8 mortos, inviabilizou o acesso dos </w:t>
      </w:r>
      <w:r>
        <w:rPr>
          <w:rFonts w:ascii="Times New Roman" w:eastAsia="Times New Roman" w:hAnsi="Times New Roman" w:cs="Times New Roman"/>
        </w:rPr>
        <w:t>moradores da região</w:t>
      </w:r>
      <w:r>
        <w:rPr>
          <w:rFonts w:ascii="Times New Roman" w:eastAsia="Times New Roman" w:hAnsi="Times New Roman" w:cs="Times New Roman"/>
          <w:color w:val="000000"/>
        </w:rPr>
        <w:t xml:space="preserve"> aos seus respectivos locais de prova no primeiro dia do Exame que, regularmente, é </w:t>
      </w:r>
      <w:r>
        <w:rPr>
          <w:rFonts w:ascii="Times New Roman" w:eastAsia="Times New Roman" w:hAnsi="Times New Roman" w:cs="Times New Roman"/>
        </w:rPr>
        <w:t>dividido</w:t>
      </w:r>
      <w:r>
        <w:rPr>
          <w:rFonts w:ascii="Times New Roman" w:eastAsia="Times New Roman" w:hAnsi="Times New Roman" w:cs="Times New Roman"/>
          <w:color w:val="000000"/>
        </w:rPr>
        <w:t xml:space="preserve"> em dois domingos de finais de semana subsequentes, naquele ano, dias 21 e 28 de novembro.</w:t>
      </w:r>
    </w:p>
    <w:p w14:paraId="1CBC7933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Cerca de 500 estudantes se depararam com a incerteza do direito a reaplicação da prova em outra data, visto que essa condição era reservada a situações de incidentes logísticos por desastres naturais, pane elétrica ou doenças contagiosas. </w:t>
      </w:r>
      <w:r>
        <w:rPr>
          <w:rFonts w:ascii="Times New Roman" w:eastAsia="Times New Roman" w:hAnsi="Times New Roman" w:cs="Times New Roman"/>
        </w:rPr>
        <w:t>É válido</w:t>
      </w:r>
      <w:r>
        <w:rPr>
          <w:rFonts w:ascii="Times New Roman" w:eastAsia="Times New Roman" w:hAnsi="Times New Roman" w:cs="Times New Roman"/>
          <w:color w:val="000000"/>
        </w:rPr>
        <w:t xml:space="preserve"> sublinhar que aquele ano ainda seria atravessado pela pandemia de COVID-19, que teve seu fim decretado em maio de 2023, deixando mais de 700 mil mortos em todo o país.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pós uma articulação da Defensoria Pública da União (DPU) e pressão dos movimentos sociais, os estudantes do Complexo do Salgueiro tiveram a garantia de seus direitos assegurados, podendo participar da reaplicação da prova em janeiro de 2022. A movimentação e o debate público em torno da causa dos estudantes do Complexo do Salgueiro evidenciaram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que essa população resiste e anseia por ocupar o espaço universitário mesmo atravessado por diversos paradigmas. </w:t>
      </w:r>
    </w:p>
    <w:p w14:paraId="05825267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partir da busca pelas práticas realizadas neste local, foi realizada uma pesquisa em um pré-vestibular social na região. O Pré-Vestibular Social do Salgueiro ocupa o espaço da ONG - Mulheres do Salgueiro, presente há mais de vinte anos na região, promovendo práticas de empoderamento feminino e economia solidária. No início de 2023 o projeto contava com um coletivo de 24 professores. Ao final daquele, este quantitativo foi reduzido para cerca de 13 professores, visto que outros educadores professores-voluntários foram deixando o projeto por fatores diversos como oportunidades de emprego, falta de disponibilidade e outros mais. </w:t>
      </w:r>
    </w:p>
    <w:p w14:paraId="739FE7B9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grupo analisado colaborou voluntariamente para o projeto, mediando conhecimentos de áreas como Física, Química, Matemática, Filosofia, Sociologia, História, Geografia, Literatura, Língua Portuguesa e Inglês. Além das aulas, que ocorriam aos sábados, foram promovidas outras atividades como visitas de campo e rodas de conversa sobre atualidades. Assim, discute-se como a foi organizada a relação professor-aluno ao notar as representações sociais que os professores possuem acerca dos seus alunos. As representações sociais são crenças que orientam os sujeitos a tomarem posições, posturas e atitudes diante dos fenômenos. </w:t>
      </w:r>
    </w:p>
    <w:p w14:paraId="588987C9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Teoria das Representações Sociais construída por Serge Moscovici (1978) possui diversas abordagens. Neste estudo, utiliza-se a abordagem societal proposta por Willem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Doise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(2001), pois se aspira ter uma compreensão sobre como as práticas atravessadas pelas representações sociais se apresentam nas </w:t>
      </w:r>
      <w:r>
        <w:rPr>
          <w:rFonts w:ascii="Times New Roman" w:eastAsia="Times New Roman" w:hAnsi="Times New Roman" w:cs="Times New Roman"/>
          <w:i/>
          <w:color w:val="000000"/>
        </w:rPr>
        <w:t>atitudes</w:t>
      </w:r>
      <w:r>
        <w:rPr>
          <w:rFonts w:ascii="Times New Roman" w:eastAsia="Times New Roman" w:hAnsi="Times New Roman" w:cs="Times New Roman"/>
          <w:color w:val="000000"/>
        </w:rPr>
        <w:t xml:space="preserve"> socioeducacionais dos professores para com seus alunos. A partir desta reflexão compreende-se que este aspecto pode ser materializado nas tomadas de posição destes educadores quanto a escolha de um material didático, um exemplo para ilustrar a aula ou, até mesmo, sua conduta ética para com o seu “aluno” e as razões que o levaram a atuar daquela maneira com aquele alunado. </w:t>
      </w:r>
    </w:p>
    <w:p w14:paraId="2F2B134C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É acrescida </w:t>
      </w:r>
      <w:r>
        <w:rPr>
          <w:rFonts w:ascii="Times New Roman" w:eastAsia="Times New Roman" w:hAnsi="Times New Roman" w:cs="Times New Roman"/>
        </w:rPr>
        <w:t>à reflexão</w:t>
      </w:r>
      <w:r>
        <w:rPr>
          <w:rFonts w:ascii="Times New Roman" w:eastAsia="Times New Roman" w:hAnsi="Times New Roman" w:cs="Times New Roman"/>
          <w:color w:val="000000"/>
        </w:rPr>
        <w:t xml:space="preserve"> o campo da Pedagogia Social, tanto como um possível campo para pensar o espaço do pré-vestibular social em si, como para pensar a relação </w:t>
      </w:r>
      <w:r>
        <w:rPr>
          <w:rFonts w:ascii="Times New Roman" w:eastAsia="Times New Roman" w:hAnsi="Times New Roman" w:cs="Times New Roman"/>
          <w:color w:val="000000"/>
        </w:rPr>
        <w:lastRenderedPageBreak/>
        <w:t>socioeducacional professor-aluno neste espaço. Para atingir este último ponto, optou-se pela Pedagogia da Hospitalidade proposta por Baptista (2005) e Ferreira (2020), que é uma das formas de se observar aquilo que é coletado neste estudo. Com base neste campo, observa-se os aspectos inerentes a esta teoria como </w:t>
      </w:r>
      <w:r>
        <w:rPr>
          <w:rFonts w:ascii="Times New Roman" w:eastAsia="Times New Roman" w:hAnsi="Times New Roman" w:cs="Times New Roman"/>
          <w:i/>
          <w:color w:val="000000"/>
        </w:rPr>
        <w:t xml:space="preserve">o reconhecimento ético da perfectibilidade humana, a crença na educabilidade, o negativo da educabilidade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lugar de escuta</w:t>
      </w:r>
      <w:r>
        <w:rPr>
          <w:rFonts w:ascii="Times New Roman" w:eastAsia="Times New Roman" w:hAnsi="Times New Roman" w:cs="Times New Roman"/>
          <w:color w:val="000000"/>
        </w:rPr>
        <w:t xml:space="preserve"> como elementos constituintes de relações de alteridade. Assim, será possível sistematizar o que é feito no campo sob esta perspectiva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sociopedagógica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ao pensar estes elementos consoante as representações sociais que estes professores compartilham sobre os alunos.</w:t>
      </w:r>
    </w:p>
    <w:p w14:paraId="229005F4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Metodologicamente, utiliza-se uma abordagem qualitativa (Duarte, 2004).</w:t>
      </w:r>
      <w:r>
        <w:rPr>
          <w:rFonts w:ascii="Times New Roman" w:eastAsia="Times New Roman" w:hAnsi="Times New Roman" w:cs="Times New Roman"/>
          <w:color w:val="000000"/>
        </w:rPr>
        <w:t xml:space="preserve"> Foram produzidos diários de campo, a partir do método fenomenológico proposto por Ferreira (2015), ao acompanhar as reflexões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Depraz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(2011) acerca da fenomenologia transcendental de Husserl (2020). Assim, Ferreira (2015, p. 8) ponderou que </w:t>
      </w:r>
      <w:r>
        <w:rPr>
          <w:rFonts w:ascii="inherit" w:eastAsia="inherit" w:hAnsi="inherit" w:cs="inherit"/>
          <w:i/>
          <w:color w:val="000000"/>
        </w:rPr>
        <w:t>noema</w:t>
      </w:r>
      <w:r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inherit" w:eastAsia="inherit" w:hAnsi="inherit" w:cs="inherit"/>
          <w:i/>
          <w:color w:val="000000"/>
        </w:rPr>
        <w:t>noese</w:t>
      </w:r>
      <w:r>
        <w:rPr>
          <w:rFonts w:ascii="Times New Roman" w:eastAsia="Times New Roman" w:hAnsi="Times New Roman" w:cs="Times New Roman"/>
          <w:color w:val="000000"/>
        </w:rPr>
        <w:t> e </w:t>
      </w:r>
      <w:r>
        <w:rPr>
          <w:rFonts w:ascii="inherit" w:eastAsia="inherit" w:hAnsi="inherit" w:cs="inherit"/>
          <w:i/>
          <w:color w:val="000000"/>
        </w:rPr>
        <w:t>variação eidética</w:t>
      </w:r>
      <w:r>
        <w:rPr>
          <w:rFonts w:ascii="Times New Roman" w:eastAsia="Times New Roman" w:hAnsi="Times New Roman" w:cs="Times New Roman"/>
          <w:color w:val="000000"/>
        </w:rPr>
        <w:t xml:space="preserve"> são as três perspectivas necessárias para a observação sistemática do campo da educação mediante um olhar fenomenológico. </w:t>
      </w:r>
    </w:p>
    <w:p w14:paraId="0A413617" w14:textId="77777777" w:rsidR="00A4507D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Junto à observação de campo, foram utilizadas como ferramentas de pesquisa entrevistas semiestruturadas (Duarte, 2004; Manzini, 2012) com o grupo de professores que permaneceu no projeto durante todo o ano de 2023, o que contabiliza 13. Para este estudo, buscou-se observar no material coletado os elementos que compõem a relação professor-aluno, para perceber como estes professores notam seus alunos e como isso pode ter norteado o seu saber-fazer no pré-vestibular social.</w:t>
      </w:r>
    </w:p>
    <w:p w14:paraId="4CE06B74" w14:textId="77777777" w:rsidR="005A157F" w:rsidRDefault="00000000" w:rsidP="005A1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Após a identificação do espaço através dos diários de campo e as entrevistas semiestruturadas, o material vem sendo analisado a partir da retórico-filosófica do discurso, com base em Aristóteles (2015), observando as figuras retóricas, consideradas por Olivier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Reboul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(2004), que sustentam suas argumentações. Deseja-se, por meio da análise retórico-filosófica, identificar as figuras retóricas utilizadas por esses sujeitos para amplificar o discurso acerca de suas práticas e, assim, identificar o </w:t>
      </w:r>
      <w:r>
        <w:rPr>
          <w:rFonts w:ascii="inherit" w:eastAsia="inherit" w:hAnsi="inherit" w:cs="inherit"/>
          <w:i/>
          <w:color w:val="000000"/>
        </w:rPr>
        <w:t>núcleo figurativo</w:t>
      </w:r>
      <w:r>
        <w:rPr>
          <w:rFonts w:ascii="Times New Roman" w:eastAsia="Times New Roman" w:hAnsi="Times New Roman" w:cs="Times New Roman"/>
          <w:color w:val="000000"/>
        </w:rPr>
        <w:t xml:space="preserve"> das representações sociais, isto é, o elemento que ancora as representações sociais compartilhadas pelo grupo de educadores. Conforme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Mazzotti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(2003), os </w:t>
      </w:r>
      <w:r>
        <w:rPr>
          <w:rFonts w:ascii="inherit" w:eastAsia="inherit" w:hAnsi="inherit" w:cs="inherit"/>
          <w:i/>
          <w:color w:val="000000"/>
        </w:rPr>
        <w:t xml:space="preserve">núcleos </w:t>
      </w:r>
      <w:r>
        <w:rPr>
          <w:rFonts w:ascii="inherit" w:eastAsia="inherit" w:hAnsi="inherit" w:cs="inherit"/>
          <w:i/>
          <w:color w:val="000000"/>
        </w:rPr>
        <w:lastRenderedPageBreak/>
        <w:t>figurativos</w:t>
      </w:r>
      <w:r>
        <w:rPr>
          <w:rFonts w:ascii="Times New Roman" w:eastAsia="Times New Roman" w:hAnsi="Times New Roman" w:cs="Times New Roman"/>
          <w:color w:val="000000"/>
        </w:rPr>
        <w:t> das representações sociais são identificados a partir das </w:t>
      </w:r>
      <w:r>
        <w:rPr>
          <w:rFonts w:ascii="inherit" w:eastAsia="inherit" w:hAnsi="inherit" w:cs="inherit"/>
          <w:i/>
          <w:color w:val="000000"/>
        </w:rPr>
        <w:t>metáforas</w:t>
      </w:r>
      <w:r>
        <w:rPr>
          <w:rFonts w:ascii="Times New Roman" w:eastAsia="Times New Roman" w:hAnsi="Times New Roman" w:cs="Times New Roman"/>
          <w:color w:val="000000"/>
        </w:rPr>
        <w:t> utilizadas pelos educadores para identificar aquilo que o autor pontua como </w:t>
      </w:r>
      <w:r>
        <w:rPr>
          <w:rFonts w:ascii="inherit" w:eastAsia="inherit" w:hAnsi="inherit" w:cs="inherit"/>
          <w:i/>
          <w:color w:val="000000"/>
        </w:rPr>
        <w:t>lugar do preferível</w:t>
      </w:r>
      <w:r>
        <w:rPr>
          <w:rFonts w:ascii="Times New Roman" w:eastAsia="Times New Roman" w:hAnsi="Times New Roman" w:cs="Times New Roman"/>
          <w:color w:val="000000"/>
        </w:rPr>
        <w:t xml:space="preserve">, ou seja, um lugar-comum que agrupa as representações sociais compartilhadas pelo grupo de educadores. Ferreira (2016) irá ampliar a concepção trazida anteriormente por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Mazzotti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apontará a relevância das </w:t>
      </w:r>
      <w:r>
        <w:rPr>
          <w:rFonts w:ascii="inherit" w:eastAsia="inherit" w:hAnsi="inherit" w:cs="inherit"/>
          <w:i/>
          <w:color w:val="000000"/>
        </w:rPr>
        <w:t>metáforas</w:t>
      </w:r>
      <w:r>
        <w:rPr>
          <w:rFonts w:ascii="Times New Roman" w:eastAsia="Times New Roman" w:hAnsi="Times New Roman" w:cs="Times New Roman"/>
          <w:color w:val="000000"/>
        </w:rPr>
        <w:t> e </w:t>
      </w:r>
      <w:r>
        <w:rPr>
          <w:rFonts w:ascii="inherit" w:eastAsia="inherit" w:hAnsi="inherit" w:cs="inherit"/>
          <w:i/>
          <w:color w:val="000000"/>
        </w:rPr>
        <w:t>metonímias </w:t>
      </w:r>
      <w:r>
        <w:rPr>
          <w:rFonts w:ascii="Times New Roman" w:eastAsia="Times New Roman" w:hAnsi="Times New Roman" w:cs="Times New Roman"/>
          <w:color w:val="000000"/>
        </w:rPr>
        <w:t>neste processo de descoberta de uma representação social.</w:t>
      </w:r>
    </w:p>
    <w:p w14:paraId="4047FBC8" w14:textId="77777777" w:rsidR="005A157F" w:rsidRDefault="00000000" w:rsidP="005A1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Como resultados parciais dessa investigação, pontua-se a relevância do pré-vestibular social como um potencial campo para pensar as práticas educativas não escolares e as práticas de Pedagogia Social a partir da Hospitalidade (Baptista, 2005; Ferreira, 2020). No âmbito da análise do material, até o momento, foi possível identificar representações sociais compartilhadas pelo grupo e que se manifestam tanto nas entrevistas dos educadores como nos diários de campo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as quais são condicionadas — e condicionantes — das dinâmicas socioeconômicas inerentes ao território em que os estudantes estão inseridos. A partir disto, é possível discutir o “aluno de pré-vestibular social” como uma categoria específica de “aluno” na qual as práticas precisam ser organizadas e sistematizadas para além de uma perspectiva dos conteúdos, mas no âmbito socioeducacional. A pesquisa ainda prossegue, </w:t>
      </w:r>
      <w:r>
        <w:rPr>
          <w:rFonts w:ascii="Times New Roman" w:eastAsia="Times New Roman" w:hAnsi="Times New Roman" w:cs="Times New Roman"/>
        </w:rPr>
        <w:t>relacionando</w:t>
      </w:r>
      <w:r>
        <w:rPr>
          <w:rFonts w:ascii="Times New Roman" w:eastAsia="Times New Roman" w:hAnsi="Times New Roman" w:cs="Times New Roman"/>
          <w:color w:val="000000"/>
        </w:rPr>
        <w:t xml:space="preserve"> tanto os discursos quanto </w:t>
      </w:r>
      <w:r>
        <w:rPr>
          <w:rFonts w:ascii="Times New Roman" w:eastAsia="Times New Roman" w:hAnsi="Times New Roman" w:cs="Times New Roman"/>
        </w:rPr>
        <w:t>às práticas</w:t>
      </w:r>
      <w:r>
        <w:rPr>
          <w:rFonts w:ascii="Times New Roman" w:eastAsia="Times New Roman" w:hAnsi="Times New Roman" w:cs="Times New Roman"/>
          <w:color w:val="000000"/>
        </w:rPr>
        <w:t xml:space="preserve"> dos educadores junto aos elementos da Pedagogia da Hospitalidade a fim de notar outros aspectos e aprofundar os mencionados anteriormente.</w:t>
      </w:r>
    </w:p>
    <w:p w14:paraId="5CD5EE67" w14:textId="53E62C8D" w:rsidR="00A4507D" w:rsidRPr="005A157F" w:rsidRDefault="00000000" w:rsidP="005A15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É notório que as oportunidades de discutir a pesquisa com a comunidade acadêmica é parte essencial do aprimoramento das discussões do estudo. Enfatiza-se a importância de expandir e publicizar os resultados dessa investigação de natureza empírica e analítica na forma de novas apresentações e publicações, contribuindo com a produção acadêmica associada aos cursos pré-vestibulares sociais situados na Região Metropolitana do Rio de Janeiro, para o campo das Representações Sociais e para formação de educadores para atuar em espaços não escolares em contextos atravessados por desigualdades sociais.</w:t>
      </w:r>
    </w:p>
    <w:p w14:paraId="1627DF8E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12B800E9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3807B892" w14:textId="77777777" w:rsidR="00A4507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Referências</w:t>
      </w:r>
    </w:p>
    <w:p w14:paraId="1B408F49" w14:textId="77777777" w:rsidR="00A4507D" w:rsidRDefault="00A4507D">
      <w:pPr>
        <w:rPr>
          <w:rFonts w:ascii="Times New Roman" w:eastAsia="Times New Roman" w:hAnsi="Times New Roman" w:cs="Times New Roman"/>
        </w:rPr>
      </w:pPr>
    </w:p>
    <w:p w14:paraId="16C5999F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BAPTISTA, Isabel. </w:t>
      </w:r>
      <w:r>
        <w:rPr>
          <w:rFonts w:ascii="Times New Roman" w:eastAsia="Times New Roman" w:hAnsi="Times New Roman" w:cs="Times New Roman"/>
          <w:b/>
          <w:color w:val="000000"/>
        </w:rPr>
        <w:t>Dar rosto ao futuro</w:t>
      </w:r>
      <w:r>
        <w:rPr>
          <w:rFonts w:ascii="Times New Roman" w:eastAsia="Times New Roman" w:hAnsi="Times New Roman" w:cs="Times New Roman"/>
          <w:color w:val="000000"/>
        </w:rPr>
        <w:t xml:space="preserve">: a educação como compromisso ético.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Profedições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Porto, 2005.</w:t>
      </w:r>
    </w:p>
    <w:p w14:paraId="35A321C8" w14:textId="77777777" w:rsidR="00A4507D" w:rsidRDefault="00000000">
      <w:pPr>
        <w:pBdr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DOISE, W. Cognições e representações sociais: a abordagem genética. In: JODELET, D. (Org). </w:t>
      </w:r>
      <w:r>
        <w:rPr>
          <w:rFonts w:ascii="Times New Roman" w:eastAsia="Times New Roman" w:hAnsi="Times New Roman" w:cs="Times New Roman"/>
          <w:b/>
          <w:color w:val="000000"/>
        </w:rPr>
        <w:t>As representações sociais</w:t>
      </w:r>
      <w:r>
        <w:rPr>
          <w:rFonts w:ascii="Times New Roman" w:eastAsia="Times New Roman" w:hAnsi="Times New Roman" w:cs="Times New Roman"/>
          <w:color w:val="000000"/>
        </w:rPr>
        <w:t xml:space="preserve">. Rio de Janeiro: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EdUERJ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2001. p.301-320.</w:t>
      </w:r>
    </w:p>
    <w:p w14:paraId="4E53D843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DUARTE, Rosália. Entrevistas em pesquisas qualitativas. </w:t>
      </w:r>
      <w:r>
        <w:rPr>
          <w:rFonts w:ascii="Times New Roman" w:eastAsia="Times New Roman" w:hAnsi="Times New Roman" w:cs="Times New Roman"/>
          <w:b/>
          <w:color w:val="000000"/>
        </w:rPr>
        <w:t>Educar em Revista</w:t>
      </w:r>
      <w:r>
        <w:rPr>
          <w:rFonts w:ascii="Times New Roman" w:eastAsia="Times New Roman" w:hAnsi="Times New Roman" w:cs="Times New Roman"/>
          <w:color w:val="000000"/>
        </w:rPr>
        <w:t>, Curitiba, v. 24, p. 213-225, 2004.</w:t>
      </w:r>
    </w:p>
    <w:p w14:paraId="019C5DAE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FERREIRA, Arthur Vianna. Pedagogia da Hospitalidade como lugar de escuta da Educação Não Escolar. In: FERREIRA, Arthur Vianna. (Org.). </w:t>
      </w:r>
      <w:r>
        <w:rPr>
          <w:rFonts w:ascii="Times New Roman" w:eastAsia="Times New Roman" w:hAnsi="Times New Roman" w:cs="Times New Roman"/>
          <w:b/>
        </w:rPr>
        <w:t>Hospitalidade na Educação: por uma pedagogia do cuidado, do amparo e da orientação na Educação Social</w:t>
      </w:r>
      <w:r>
        <w:rPr>
          <w:rFonts w:ascii="Times New Roman" w:eastAsia="Times New Roman" w:hAnsi="Times New Roman" w:cs="Times New Roman"/>
        </w:rPr>
        <w:t xml:space="preserve">. 1ªed.Rio de Janeiro: Autografia, 2020, </w:t>
      </w:r>
      <w:proofErr w:type="gramStart"/>
      <w:r>
        <w:rPr>
          <w:rFonts w:ascii="Times New Roman" w:eastAsia="Times New Roman" w:hAnsi="Times New Roman" w:cs="Times New Roman"/>
        </w:rPr>
        <w:t>v. ,</w:t>
      </w:r>
      <w:proofErr w:type="gramEnd"/>
      <w:r>
        <w:rPr>
          <w:rFonts w:ascii="Times New Roman" w:eastAsia="Times New Roman" w:hAnsi="Times New Roman" w:cs="Times New Roman"/>
        </w:rPr>
        <w:t xml:space="preserve"> p. 13-58.</w:t>
      </w:r>
    </w:p>
    <w:p w14:paraId="66C29FCB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FERREIRA, Arthur Vianna. O uso da fenomenologia nas práticas de estágio supervisionado para licenciaturas. </w:t>
      </w:r>
      <w:r>
        <w:rPr>
          <w:rFonts w:ascii="Times New Roman" w:eastAsia="Times New Roman" w:hAnsi="Times New Roman" w:cs="Times New Roman"/>
          <w:b/>
          <w:color w:val="000000"/>
        </w:rPr>
        <w:t>Rev. Brasileira de Ensino Superior</w:t>
      </w:r>
      <w:r>
        <w:rPr>
          <w:rFonts w:ascii="Times New Roman" w:eastAsia="Times New Roman" w:hAnsi="Times New Roman" w:cs="Times New Roman"/>
          <w:color w:val="000000"/>
        </w:rPr>
        <w:t>. Passo Fundo, v. 1, n. 2, pp. 5-14, 2015.</w:t>
      </w:r>
    </w:p>
    <w:p w14:paraId="537928CE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FERREIRA, Arthur Vianna. </w:t>
      </w:r>
      <w:r>
        <w:rPr>
          <w:rFonts w:ascii="Times New Roman" w:eastAsia="Times New Roman" w:hAnsi="Times New Roman" w:cs="Times New Roman"/>
          <w:b/>
        </w:rPr>
        <w:t>Representações Sociais e evasão em espaços educacionais não escolares</w:t>
      </w:r>
      <w:r>
        <w:rPr>
          <w:rFonts w:ascii="Times New Roman" w:eastAsia="Times New Roman" w:hAnsi="Times New Roman" w:cs="Times New Roman"/>
        </w:rPr>
        <w:t>. Curitiba: CRV, 2016.</w:t>
      </w:r>
    </w:p>
    <w:p w14:paraId="6A1F4804" w14:textId="77777777" w:rsidR="00A4507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MANZINI, Eduardo José. Uso da entrevista em dissertações e teses produzidas em um programa de pós-graduação em educação. </w:t>
      </w:r>
      <w:r>
        <w:rPr>
          <w:rFonts w:ascii="Times New Roman" w:eastAsia="Times New Roman" w:hAnsi="Times New Roman" w:cs="Times New Roman"/>
          <w:b/>
        </w:rPr>
        <w:t>Revista Percurso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- NEMO Maringá, v. 4, n. 2, pp. 149-171, 2012.</w:t>
      </w:r>
    </w:p>
    <w:p w14:paraId="4D1AB1D8" w14:textId="77777777" w:rsidR="00A4507D" w:rsidRDefault="00000000">
      <w:pPr>
        <w:pBdr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MAZZOTTI, Tarso Bonilha. Metáfora: figura argumentativa central na coordenação discursiva das representações sociais. In: CAMPOS, Pedro Humberto Farias. LOUREIRO, Marcos </w:t>
      </w:r>
      <w:r>
        <w:rPr>
          <w:rFonts w:ascii="Times New Roman" w:eastAsia="Times New Roman" w:hAnsi="Times New Roman" w:cs="Times New Roman"/>
        </w:rPr>
        <w:t>Corrêa</w:t>
      </w:r>
      <w:r>
        <w:rPr>
          <w:rFonts w:ascii="Times New Roman" w:eastAsia="Times New Roman" w:hAnsi="Times New Roman" w:cs="Times New Roman"/>
          <w:color w:val="000000"/>
        </w:rPr>
        <w:t xml:space="preserve"> da Silva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b/>
          <w:color w:val="000000"/>
        </w:rPr>
        <w:t>Representações Sociais e Práticas Educativas</w:t>
      </w:r>
      <w:r>
        <w:rPr>
          <w:rFonts w:ascii="Times New Roman" w:eastAsia="Times New Roman" w:hAnsi="Times New Roman" w:cs="Times New Roman"/>
          <w:color w:val="000000"/>
        </w:rPr>
        <w:t>. Goiânia: Ed. UCG, pp. 89-102, 2003.</w:t>
      </w:r>
    </w:p>
    <w:p w14:paraId="142596FE" w14:textId="77777777" w:rsidR="00A4507D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MOSCOVICI, Serge. </w:t>
      </w:r>
      <w:r>
        <w:rPr>
          <w:rFonts w:ascii="Times New Roman" w:eastAsia="Times New Roman" w:hAnsi="Times New Roman" w:cs="Times New Roman"/>
          <w:b/>
        </w:rPr>
        <w:t>A psicanálise, sua imagem e seu público</w:t>
      </w:r>
      <w:r>
        <w:rPr>
          <w:rFonts w:ascii="Times New Roman" w:eastAsia="Times New Roman" w:hAnsi="Times New Roman" w:cs="Times New Roman"/>
        </w:rPr>
        <w:t xml:space="preserve">. Rio de Janeiro: Zahar, 1978. </w:t>
      </w:r>
    </w:p>
    <w:p w14:paraId="011E5ADB" w14:textId="77777777" w:rsidR="00A4507D" w:rsidRDefault="00000000">
      <w:pPr>
        <w:pBdr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REBOUL, Olivier. </w:t>
      </w:r>
      <w:r>
        <w:rPr>
          <w:rFonts w:ascii="Times New Roman" w:eastAsia="Times New Roman" w:hAnsi="Times New Roman" w:cs="Times New Roman"/>
          <w:b/>
          <w:color w:val="000000"/>
        </w:rPr>
        <w:t>Introdução à retórica</w:t>
      </w:r>
      <w:r>
        <w:rPr>
          <w:rFonts w:ascii="Times New Roman" w:eastAsia="Times New Roman" w:hAnsi="Times New Roman" w:cs="Times New Roman"/>
          <w:color w:val="000000"/>
        </w:rPr>
        <w:t>. São Paulo: Martins Fontes, 2004.</w:t>
      </w:r>
    </w:p>
    <w:sectPr w:rsidR="00A45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50E5" w14:textId="77777777" w:rsidR="003C691C" w:rsidRDefault="003C691C">
      <w:r>
        <w:separator/>
      </w:r>
    </w:p>
  </w:endnote>
  <w:endnote w:type="continuationSeparator" w:id="0">
    <w:p w14:paraId="68DECB84" w14:textId="77777777" w:rsidR="003C691C" w:rsidRDefault="003C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AD4E" w14:textId="77777777" w:rsidR="00A4507D" w:rsidRDefault="00A45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3941" w14:textId="77777777" w:rsidR="00A4507D" w:rsidRDefault="00A45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F7DB" w14:textId="77777777" w:rsidR="00A4507D" w:rsidRDefault="00A45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8893" w14:textId="77777777" w:rsidR="003C691C" w:rsidRDefault="003C691C">
      <w:r>
        <w:separator/>
      </w:r>
    </w:p>
  </w:footnote>
  <w:footnote w:type="continuationSeparator" w:id="0">
    <w:p w14:paraId="065D26E4" w14:textId="77777777" w:rsidR="003C691C" w:rsidRDefault="003C691C">
      <w:r>
        <w:continuationSeparator/>
      </w:r>
    </w:p>
  </w:footnote>
  <w:footnote w:id="1">
    <w:p w14:paraId="73F680CB" w14:textId="77777777" w:rsidR="00A4507D" w:rsidRDefault="0000000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Disponível em: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https://www1.folha.uol.com.br/cotidiano/2021/11/nao-tenho-culpa-de-morar-aqui-diz-jovem-do-salgueiro-que-perdeu-o-enem.shtml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maio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6FA5" w14:textId="77777777" w:rsidR="00A4507D" w:rsidRDefault="00A45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7875" w14:textId="77777777" w:rsidR="00A450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1FDF41F" wp14:editId="168B2AD2">
          <wp:extent cx="5400040" cy="17716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26E4" w14:textId="77777777" w:rsidR="00A4507D" w:rsidRDefault="00A45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7D"/>
    <w:rsid w:val="00130DEC"/>
    <w:rsid w:val="003C691C"/>
    <w:rsid w:val="005A157F"/>
    <w:rsid w:val="00755101"/>
    <w:rsid w:val="00A4507D"/>
    <w:rsid w:val="00C5192F"/>
    <w:rsid w:val="00E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13EF"/>
  <w15:docId w15:val="{66A77700-4108-4F6C-AF87-BE2D2F6B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1.folha.uol.com.br/cotidiano/2021/11/nao-tenho-culpa-de-morar-aqui-diz-jovem-do-salgueiro-que-perdeu-o-enem.s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SZGZXEHfc3JNgFea6Zwal4Wuw==">CgMxLjAyCGguZ2pkZ3hzOAByITFvTF9jeTlJVmdpUVM0UnFGWnVpMGZrc0lkb19uaE9fLQ==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1945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Alan</cp:lastModifiedBy>
  <cp:revision>4</cp:revision>
  <dcterms:created xsi:type="dcterms:W3CDTF">2024-02-22T21:42:00Z</dcterms:created>
  <dcterms:modified xsi:type="dcterms:W3CDTF">2024-05-28T01:40:00Z</dcterms:modified>
</cp:coreProperties>
</file>